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02CA" w14:textId="51534037" w:rsidR="0071611B" w:rsidRPr="00CD2F11" w:rsidRDefault="0071611B" w:rsidP="0071611B">
      <w:pPr>
        <w:pStyle w:val="IntenseQuote"/>
        <w:spacing w:before="0" w:after="0" w:line="240" w:lineRule="auto"/>
        <w:ind w:right="90"/>
        <w:rPr>
          <w:rFonts w:ascii="Times New Roman" w:hAnsi="Times New Roman" w:cs="Times New Roman"/>
          <w:i w:val="0"/>
          <w:iCs w:val="0"/>
        </w:rPr>
      </w:pPr>
      <w:r w:rsidRPr="00CD2F11">
        <w:rPr>
          <w:rFonts w:ascii="Times New Roman" w:hAnsi="Times New Roman" w:cs="Times New Roman"/>
          <w:b/>
          <w:bCs/>
        </w:rPr>
        <w:t xml:space="preserve">Issue 2: Leveraging regulations to support </w:t>
      </w:r>
      <w:r w:rsidR="0087463D">
        <w:rPr>
          <w:rFonts w:ascii="Times New Roman" w:hAnsi="Times New Roman" w:cs="Times New Roman"/>
          <w:b/>
          <w:bCs/>
        </w:rPr>
        <w:t>w</w:t>
      </w:r>
      <w:r w:rsidRPr="00CD2F11">
        <w:rPr>
          <w:rFonts w:ascii="Times New Roman" w:hAnsi="Times New Roman" w:cs="Times New Roman"/>
          <w:b/>
          <w:bCs/>
        </w:rPr>
        <w:t xml:space="preserve">omen in </w:t>
      </w:r>
      <w:r w:rsidR="0087463D">
        <w:rPr>
          <w:rFonts w:ascii="Times New Roman" w:hAnsi="Times New Roman" w:cs="Times New Roman"/>
          <w:b/>
          <w:bCs/>
        </w:rPr>
        <w:t xml:space="preserve">the </w:t>
      </w:r>
      <w:r w:rsidR="003602DD">
        <w:rPr>
          <w:rFonts w:ascii="Times New Roman" w:hAnsi="Times New Roman" w:cs="Times New Roman"/>
          <w:b/>
          <w:bCs/>
        </w:rPr>
        <w:t>private sector</w:t>
      </w:r>
      <w:r w:rsidR="003602DD" w:rsidRPr="00CD2F11">
        <w:rPr>
          <w:rFonts w:ascii="Times New Roman" w:hAnsi="Times New Roman" w:cs="Times New Roman"/>
          <w:b/>
          <w:bCs/>
        </w:rPr>
        <w:t xml:space="preserve"> </w:t>
      </w:r>
      <w:r w:rsidRPr="00CD2F11">
        <w:rPr>
          <w:rFonts w:ascii="Times New Roman" w:hAnsi="Times New Roman" w:cs="Times New Roman"/>
          <w:b/>
          <w:bCs/>
        </w:rPr>
        <w:t>in Indonesia</w:t>
      </w:r>
      <w:r w:rsidRPr="00CD2F11">
        <w:rPr>
          <w:rStyle w:val="FootnoteReference"/>
          <w:rFonts w:ascii="Times New Roman" w:hAnsi="Times New Roman" w:cs="Times New Roman"/>
          <w:b/>
          <w:bCs/>
        </w:rPr>
        <w:footnoteReference w:id="2"/>
      </w:r>
    </w:p>
    <w:p w14:paraId="46F6DAF9" w14:textId="77777777" w:rsidR="001440AE" w:rsidRPr="00CD2F11" w:rsidRDefault="001440AE" w:rsidP="00A97D38">
      <w:pPr>
        <w:spacing w:after="120" w:line="240" w:lineRule="auto"/>
        <w:rPr>
          <w:rFonts w:ascii="Times New Roman" w:eastAsia="Times New Roman" w:hAnsi="Times New Roman" w:cs="Times New Roman"/>
          <w:b/>
          <w:bCs/>
        </w:rPr>
      </w:pPr>
    </w:p>
    <w:p w14:paraId="4AEDF1FB" w14:textId="77777777" w:rsidR="001F7AA9" w:rsidRPr="001E57CE" w:rsidRDefault="001F7AA9" w:rsidP="001F7AA9">
      <w:pPr>
        <w:pStyle w:val="ListParagraph"/>
        <w:numPr>
          <w:ilvl w:val="0"/>
          <w:numId w:val="4"/>
        </w:numPr>
        <w:spacing w:after="120" w:line="240" w:lineRule="auto"/>
        <w:jc w:val="both"/>
        <w:rPr>
          <w:rFonts w:ascii="Times New Roman" w:eastAsia="Times New Roman" w:hAnsi="Times New Roman" w:cs="Times New Roman"/>
          <w:sz w:val="28"/>
          <w:szCs w:val="28"/>
        </w:rPr>
      </w:pPr>
      <w:r w:rsidRPr="001E57CE">
        <w:rPr>
          <w:rFonts w:ascii="Times New Roman" w:eastAsia="Times New Roman" w:hAnsi="Times New Roman" w:cs="Times New Roman"/>
          <w:b/>
          <w:bCs/>
          <w:color w:val="4472C4" w:themeColor="accent1"/>
          <w:sz w:val="28"/>
          <w:szCs w:val="28"/>
        </w:rPr>
        <w:t>Introduction</w:t>
      </w:r>
      <w:r w:rsidRPr="001E57CE">
        <w:rPr>
          <w:rFonts w:ascii="Times New Roman" w:eastAsia="Times New Roman" w:hAnsi="Times New Roman" w:cs="Times New Roman"/>
          <w:b/>
          <w:bCs/>
          <w:sz w:val="28"/>
          <w:szCs w:val="28"/>
        </w:rPr>
        <w:t xml:space="preserve"> </w:t>
      </w:r>
    </w:p>
    <w:p w14:paraId="526C07FA" w14:textId="278BBE18" w:rsidR="00A97D38" w:rsidRDefault="00A97D38" w:rsidP="001F7AA9">
      <w:pPr>
        <w:spacing w:after="120" w:line="240" w:lineRule="auto"/>
        <w:jc w:val="both"/>
        <w:rPr>
          <w:rFonts w:ascii="Times New Roman" w:eastAsia="Times New Roman" w:hAnsi="Times New Roman" w:cs="Times New Roman"/>
        </w:rPr>
      </w:pPr>
      <w:r w:rsidRPr="001F7AA9">
        <w:rPr>
          <w:rFonts w:ascii="Times New Roman" w:eastAsia="Times New Roman" w:hAnsi="Times New Roman" w:cs="Times New Roman"/>
          <w:b/>
          <w:bCs/>
        </w:rPr>
        <w:t>Th</w:t>
      </w:r>
      <w:r w:rsidR="002F777D" w:rsidRPr="001F7AA9">
        <w:rPr>
          <w:rFonts w:ascii="Times New Roman" w:eastAsia="Times New Roman" w:hAnsi="Times New Roman" w:cs="Times New Roman"/>
          <w:b/>
          <w:bCs/>
        </w:rPr>
        <w:t>e</w:t>
      </w:r>
      <w:r w:rsidRPr="001F7AA9">
        <w:rPr>
          <w:rFonts w:ascii="Times New Roman" w:eastAsia="Times New Roman" w:hAnsi="Times New Roman" w:cs="Times New Roman"/>
          <w:b/>
          <w:bCs/>
        </w:rPr>
        <w:t xml:space="preserve"> second publication of the </w:t>
      </w:r>
      <w:hyperlink r:id="rId8" w:history="1">
        <w:r w:rsidRPr="001F7AA9">
          <w:rPr>
            <w:rStyle w:val="Hyperlink"/>
            <w:rFonts w:ascii="Times New Roman" w:eastAsia="Times New Roman" w:hAnsi="Times New Roman" w:cs="Times New Roman"/>
            <w:b/>
            <w:bCs/>
          </w:rPr>
          <w:t>Indonesia Gender Dashboard</w:t>
        </w:r>
      </w:hyperlink>
      <w:r w:rsidRPr="001F7AA9">
        <w:rPr>
          <w:rFonts w:ascii="Times New Roman" w:eastAsia="Times New Roman" w:hAnsi="Times New Roman" w:cs="Times New Roman"/>
          <w:b/>
          <w:bCs/>
        </w:rPr>
        <w:t xml:space="preserve"> presents an overview of recent progress and identifies shortcomings within the country’s legal framework surrounding </w:t>
      </w:r>
      <w:r w:rsidR="004F4906">
        <w:rPr>
          <w:rFonts w:ascii="Times New Roman" w:eastAsia="Times New Roman" w:hAnsi="Times New Roman" w:cs="Times New Roman"/>
          <w:b/>
          <w:bCs/>
        </w:rPr>
        <w:t>women's</w:t>
      </w:r>
      <w:r w:rsidR="004F4906" w:rsidRPr="001F7AA9">
        <w:rPr>
          <w:rFonts w:ascii="Times New Roman" w:eastAsia="Times New Roman" w:hAnsi="Times New Roman" w:cs="Times New Roman"/>
          <w:b/>
          <w:bCs/>
        </w:rPr>
        <w:t xml:space="preserve"> </w:t>
      </w:r>
      <w:r w:rsidRPr="001F7AA9">
        <w:rPr>
          <w:rFonts w:ascii="Times New Roman" w:eastAsia="Times New Roman" w:hAnsi="Times New Roman" w:cs="Times New Roman"/>
          <w:b/>
          <w:bCs/>
        </w:rPr>
        <w:t xml:space="preserve">participation in the private sector. </w:t>
      </w:r>
      <w:r w:rsidRPr="001F7AA9">
        <w:rPr>
          <w:rFonts w:ascii="Times New Roman" w:eastAsia="Times New Roman" w:hAnsi="Times New Roman" w:cs="Times New Roman"/>
        </w:rPr>
        <w:t xml:space="preserve">The content </w:t>
      </w:r>
      <w:r w:rsidR="002F777D" w:rsidRPr="001F7AA9">
        <w:rPr>
          <w:rFonts w:ascii="Times New Roman" w:eastAsia="Times New Roman" w:hAnsi="Times New Roman" w:cs="Times New Roman"/>
        </w:rPr>
        <w:t xml:space="preserve">is based on </w:t>
      </w:r>
      <w:r w:rsidRPr="001F7AA9">
        <w:rPr>
          <w:rFonts w:ascii="Times New Roman" w:eastAsia="Times New Roman" w:hAnsi="Times New Roman" w:cs="Times New Roman"/>
        </w:rPr>
        <w:t xml:space="preserve">a review of Indonesian regulations </w:t>
      </w:r>
      <w:r w:rsidR="004F4906">
        <w:rPr>
          <w:rFonts w:ascii="Times New Roman" w:eastAsia="Times New Roman" w:hAnsi="Times New Roman" w:cs="Times New Roman"/>
        </w:rPr>
        <w:t>and</w:t>
      </w:r>
      <w:r w:rsidR="00E94FC8" w:rsidRPr="001F7AA9">
        <w:rPr>
          <w:rFonts w:ascii="Times New Roman" w:eastAsia="Times New Roman" w:hAnsi="Times New Roman" w:cs="Times New Roman"/>
        </w:rPr>
        <w:t xml:space="preserve"> the</w:t>
      </w:r>
      <w:r w:rsidRPr="001F7AA9">
        <w:rPr>
          <w:rFonts w:ascii="Times New Roman" w:eastAsia="Times New Roman" w:hAnsi="Times New Roman" w:cs="Times New Roman"/>
        </w:rPr>
        <w:t xml:space="preserve"> </w:t>
      </w:r>
      <w:r w:rsidR="002F777D" w:rsidRPr="001F7AA9">
        <w:rPr>
          <w:rFonts w:ascii="Times New Roman" w:eastAsia="Times New Roman" w:hAnsi="Times New Roman" w:cs="Times New Roman"/>
        </w:rPr>
        <w:t>latest</w:t>
      </w:r>
      <w:r w:rsidRPr="001F7AA9">
        <w:rPr>
          <w:rFonts w:ascii="Times New Roman" w:eastAsia="Times New Roman" w:hAnsi="Times New Roman" w:cs="Times New Roman"/>
        </w:rPr>
        <w:t xml:space="preserve"> </w:t>
      </w:r>
      <w:hyperlink r:id="rId9" w:history="1">
        <w:r w:rsidRPr="001F7AA9">
          <w:rPr>
            <w:rStyle w:val="Hyperlink"/>
            <w:rFonts w:ascii="Times New Roman" w:eastAsia="Times New Roman" w:hAnsi="Times New Roman" w:cs="Times New Roman"/>
          </w:rPr>
          <w:t>Women, Business and the Law</w:t>
        </w:r>
      </w:hyperlink>
      <w:r w:rsidR="003602DD">
        <w:rPr>
          <w:rStyle w:val="Hyperlink"/>
          <w:rFonts w:ascii="Times New Roman" w:eastAsia="Times New Roman" w:hAnsi="Times New Roman" w:cs="Times New Roman"/>
        </w:rPr>
        <w:t xml:space="preserve"> </w:t>
      </w:r>
      <w:r w:rsidR="008435DD">
        <w:rPr>
          <w:rStyle w:val="Hyperlink"/>
          <w:rFonts w:ascii="Times New Roman" w:eastAsia="Times New Roman" w:hAnsi="Times New Roman" w:cs="Times New Roman"/>
        </w:rPr>
        <w:t>(</w:t>
      </w:r>
      <w:r w:rsidR="003602DD">
        <w:rPr>
          <w:rStyle w:val="Hyperlink"/>
          <w:rFonts w:ascii="Times New Roman" w:eastAsia="Times New Roman" w:hAnsi="Times New Roman" w:cs="Times New Roman"/>
        </w:rPr>
        <w:t>2023)</w:t>
      </w:r>
      <w:r w:rsidRPr="001F7AA9">
        <w:rPr>
          <w:rFonts w:ascii="Times New Roman" w:eastAsia="Times New Roman" w:hAnsi="Times New Roman" w:cs="Times New Roman"/>
        </w:rPr>
        <w:t xml:space="preserve"> data and report</w:t>
      </w:r>
      <w:r w:rsidR="00E94FC8" w:rsidRPr="001F7AA9">
        <w:rPr>
          <w:rFonts w:ascii="Times New Roman" w:eastAsia="Times New Roman" w:hAnsi="Times New Roman" w:cs="Times New Roman"/>
        </w:rPr>
        <w:t>s</w:t>
      </w:r>
      <w:r w:rsidRPr="001F7AA9">
        <w:rPr>
          <w:rFonts w:ascii="Times New Roman" w:eastAsia="Times New Roman" w:hAnsi="Times New Roman" w:cs="Times New Roman"/>
        </w:rPr>
        <w:t xml:space="preserve">. </w:t>
      </w:r>
      <w:r w:rsidR="002F777D" w:rsidRPr="001F7AA9">
        <w:rPr>
          <w:rFonts w:ascii="Times New Roman" w:eastAsia="Times New Roman" w:hAnsi="Times New Roman" w:cs="Times New Roman"/>
        </w:rPr>
        <w:t>The purpose of this publication is to stimulate a public-private dialogue and propose concrete actions to address the remaining gaps. To support these discussions, th</w:t>
      </w:r>
      <w:r w:rsidR="00E509EC">
        <w:rPr>
          <w:rFonts w:ascii="Times New Roman" w:eastAsia="Times New Roman" w:hAnsi="Times New Roman" w:cs="Times New Roman"/>
        </w:rPr>
        <w:t>is issue</w:t>
      </w:r>
      <w:r w:rsidR="002F777D" w:rsidRPr="001F7AA9">
        <w:rPr>
          <w:rFonts w:ascii="Times New Roman" w:eastAsia="Times New Roman" w:hAnsi="Times New Roman" w:cs="Times New Roman"/>
        </w:rPr>
        <w:t xml:space="preserve"> provides examples of best practices from selected G-20 countries. The remainder of the note is organized as follows. First, it examines the specific legal constraints </w:t>
      </w:r>
      <w:r w:rsidR="0028709E">
        <w:rPr>
          <w:rFonts w:ascii="Times New Roman" w:eastAsia="Times New Roman" w:hAnsi="Times New Roman" w:cs="Times New Roman"/>
        </w:rPr>
        <w:t xml:space="preserve">that </w:t>
      </w:r>
      <w:r w:rsidR="006C3BC5">
        <w:rPr>
          <w:rFonts w:ascii="Times New Roman" w:eastAsia="Times New Roman" w:hAnsi="Times New Roman" w:cs="Times New Roman"/>
        </w:rPr>
        <w:t>women face</w:t>
      </w:r>
      <w:r w:rsidR="002F777D" w:rsidRPr="001F7AA9">
        <w:rPr>
          <w:rFonts w:ascii="Times New Roman" w:eastAsia="Times New Roman" w:hAnsi="Times New Roman" w:cs="Times New Roman"/>
        </w:rPr>
        <w:t xml:space="preserve"> in </w:t>
      </w:r>
      <w:r w:rsidR="003602DD">
        <w:rPr>
          <w:rFonts w:ascii="Times New Roman" w:eastAsia="Times New Roman" w:hAnsi="Times New Roman" w:cs="Times New Roman"/>
        </w:rPr>
        <w:t xml:space="preserve">the </w:t>
      </w:r>
      <w:r w:rsidR="002F777D" w:rsidRPr="001F7AA9">
        <w:rPr>
          <w:rFonts w:ascii="Times New Roman" w:eastAsia="Times New Roman" w:hAnsi="Times New Roman" w:cs="Times New Roman"/>
        </w:rPr>
        <w:t>Indonesia</w:t>
      </w:r>
      <w:r w:rsidR="003602DD">
        <w:rPr>
          <w:rFonts w:ascii="Times New Roman" w:eastAsia="Times New Roman" w:hAnsi="Times New Roman" w:cs="Times New Roman"/>
        </w:rPr>
        <w:t>n private sector</w:t>
      </w:r>
      <w:r w:rsidR="002F777D" w:rsidRPr="001F7AA9">
        <w:rPr>
          <w:rFonts w:ascii="Times New Roman" w:eastAsia="Times New Roman" w:hAnsi="Times New Roman" w:cs="Times New Roman"/>
        </w:rPr>
        <w:t xml:space="preserve">, </w:t>
      </w:r>
      <w:r w:rsidR="004F4906">
        <w:rPr>
          <w:rFonts w:ascii="Times New Roman" w:eastAsia="Times New Roman" w:hAnsi="Times New Roman" w:cs="Times New Roman"/>
        </w:rPr>
        <w:t>focusing</w:t>
      </w:r>
      <w:r w:rsidR="002F777D" w:rsidRPr="001F7AA9">
        <w:rPr>
          <w:rFonts w:ascii="Times New Roman" w:eastAsia="Times New Roman" w:hAnsi="Times New Roman" w:cs="Times New Roman"/>
        </w:rPr>
        <w:t xml:space="preserve"> on labor law, tax regulations, and asset ownership. Second, the note </w:t>
      </w:r>
      <w:r w:rsidR="00DD0624">
        <w:rPr>
          <w:rFonts w:ascii="Times New Roman" w:eastAsia="Times New Roman" w:hAnsi="Times New Roman" w:cs="Times New Roman"/>
        </w:rPr>
        <w:t xml:space="preserve">provides concrete recommendations </w:t>
      </w:r>
      <w:r w:rsidR="0028709E">
        <w:rPr>
          <w:rFonts w:ascii="Times New Roman" w:eastAsia="Times New Roman" w:hAnsi="Times New Roman" w:cs="Times New Roman"/>
        </w:rPr>
        <w:t xml:space="preserve">stemming from </w:t>
      </w:r>
      <w:r w:rsidR="002F777D" w:rsidRPr="001F7AA9">
        <w:rPr>
          <w:rFonts w:ascii="Times New Roman" w:eastAsia="Times New Roman" w:hAnsi="Times New Roman" w:cs="Times New Roman"/>
        </w:rPr>
        <w:t xml:space="preserve">inspiring examples that have been successful in </w:t>
      </w:r>
      <w:r w:rsidR="00DD0624">
        <w:rPr>
          <w:rFonts w:ascii="Times New Roman" w:eastAsia="Times New Roman" w:hAnsi="Times New Roman" w:cs="Times New Roman"/>
        </w:rPr>
        <w:t>select</w:t>
      </w:r>
      <w:r w:rsidR="00D16DF3">
        <w:rPr>
          <w:rFonts w:ascii="Times New Roman" w:eastAsia="Times New Roman" w:hAnsi="Times New Roman" w:cs="Times New Roman"/>
        </w:rPr>
        <w:t>ed</w:t>
      </w:r>
      <w:r w:rsidR="00DD0624">
        <w:rPr>
          <w:rFonts w:ascii="Times New Roman" w:eastAsia="Times New Roman" w:hAnsi="Times New Roman" w:cs="Times New Roman"/>
        </w:rPr>
        <w:t xml:space="preserve"> G-20</w:t>
      </w:r>
      <w:r w:rsidR="002F777D" w:rsidRPr="001F7AA9">
        <w:rPr>
          <w:rFonts w:ascii="Times New Roman" w:eastAsia="Times New Roman" w:hAnsi="Times New Roman" w:cs="Times New Roman"/>
        </w:rPr>
        <w:t xml:space="preserve"> countries</w:t>
      </w:r>
      <w:r w:rsidR="00DD0624">
        <w:rPr>
          <w:rFonts w:ascii="Times New Roman" w:eastAsia="Times New Roman" w:hAnsi="Times New Roman" w:cs="Times New Roman"/>
        </w:rPr>
        <w:t xml:space="preserve">. This issue concludes </w:t>
      </w:r>
      <w:r w:rsidR="001924C3">
        <w:rPr>
          <w:rFonts w:ascii="Times New Roman" w:eastAsia="Times New Roman" w:hAnsi="Times New Roman" w:cs="Times New Roman"/>
        </w:rPr>
        <w:t>by</w:t>
      </w:r>
      <w:r w:rsidR="004F4906" w:rsidRPr="001F7AA9">
        <w:rPr>
          <w:rFonts w:ascii="Times New Roman" w:eastAsia="Times New Roman" w:hAnsi="Times New Roman" w:cs="Times New Roman"/>
        </w:rPr>
        <w:t xml:space="preserve"> </w:t>
      </w:r>
      <w:r w:rsidR="00471FB2">
        <w:rPr>
          <w:rFonts w:ascii="Times New Roman" w:eastAsia="Times New Roman" w:hAnsi="Times New Roman" w:cs="Times New Roman"/>
        </w:rPr>
        <w:t>identif</w:t>
      </w:r>
      <w:r w:rsidR="001924C3">
        <w:rPr>
          <w:rFonts w:ascii="Times New Roman" w:eastAsia="Times New Roman" w:hAnsi="Times New Roman" w:cs="Times New Roman"/>
        </w:rPr>
        <w:t xml:space="preserve">ying </w:t>
      </w:r>
      <w:r w:rsidR="00E509EC">
        <w:rPr>
          <w:rFonts w:ascii="Times New Roman" w:eastAsia="Times New Roman" w:hAnsi="Times New Roman" w:cs="Times New Roman"/>
        </w:rPr>
        <w:t xml:space="preserve">the </w:t>
      </w:r>
      <w:r w:rsidR="00A733F6">
        <w:rPr>
          <w:rFonts w:ascii="Times New Roman" w:eastAsia="Times New Roman" w:hAnsi="Times New Roman" w:cs="Times New Roman"/>
        </w:rPr>
        <w:t xml:space="preserve">key actors </w:t>
      </w:r>
      <w:r w:rsidR="001924C3">
        <w:rPr>
          <w:rFonts w:ascii="Times New Roman" w:eastAsia="Times New Roman" w:hAnsi="Times New Roman" w:cs="Times New Roman"/>
        </w:rPr>
        <w:t>that</w:t>
      </w:r>
      <w:r w:rsidR="00A733F6">
        <w:rPr>
          <w:rFonts w:ascii="Times New Roman" w:eastAsia="Times New Roman" w:hAnsi="Times New Roman" w:cs="Times New Roman"/>
        </w:rPr>
        <w:t xml:space="preserve"> can lead a successful public-private collaboration </w:t>
      </w:r>
      <w:r w:rsidR="002F777D" w:rsidRPr="001F7AA9">
        <w:rPr>
          <w:rFonts w:ascii="Times New Roman" w:eastAsia="Times New Roman" w:hAnsi="Times New Roman" w:cs="Times New Roman"/>
        </w:rPr>
        <w:t>t</w:t>
      </w:r>
      <w:r w:rsidR="004E045B">
        <w:rPr>
          <w:rFonts w:ascii="Times New Roman" w:eastAsia="Times New Roman" w:hAnsi="Times New Roman" w:cs="Times New Roman"/>
        </w:rPr>
        <w:t xml:space="preserve">o implement </w:t>
      </w:r>
      <w:r w:rsidR="001A1ABD">
        <w:rPr>
          <w:rFonts w:ascii="Times New Roman" w:eastAsia="Times New Roman" w:hAnsi="Times New Roman" w:cs="Times New Roman"/>
        </w:rPr>
        <w:t>t</w:t>
      </w:r>
      <w:r w:rsidR="001A1ABD" w:rsidRPr="001F7AA9">
        <w:rPr>
          <w:rFonts w:ascii="Times New Roman" w:eastAsia="Times New Roman" w:hAnsi="Times New Roman" w:cs="Times New Roman"/>
        </w:rPr>
        <w:t>h</w:t>
      </w:r>
      <w:r w:rsidR="003602DD">
        <w:rPr>
          <w:rFonts w:ascii="Times New Roman" w:eastAsia="Times New Roman" w:hAnsi="Times New Roman" w:cs="Times New Roman"/>
        </w:rPr>
        <w:t>ese</w:t>
      </w:r>
      <w:r w:rsidR="001A1ABD" w:rsidRPr="001F7AA9">
        <w:rPr>
          <w:rFonts w:ascii="Times New Roman" w:eastAsia="Times New Roman" w:hAnsi="Times New Roman" w:cs="Times New Roman"/>
        </w:rPr>
        <w:t xml:space="preserve"> recommendation</w:t>
      </w:r>
      <w:r w:rsidR="003602DD">
        <w:rPr>
          <w:rFonts w:ascii="Times New Roman" w:eastAsia="Times New Roman" w:hAnsi="Times New Roman" w:cs="Times New Roman"/>
        </w:rPr>
        <w:t>s</w:t>
      </w:r>
      <w:r w:rsidR="002F777D" w:rsidRPr="001F7AA9">
        <w:rPr>
          <w:rFonts w:ascii="Times New Roman" w:eastAsia="Times New Roman" w:hAnsi="Times New Roman" w:cs="Times New Roman"/>
        </w:rPr>
        <w:t xml:space="preserve"> in Indonesi</w:t>
      </w:r>
      <w:r w:rsidR="004E045B">
        <w:rPr>
          <w:rFonts w:ascii="Times New Roman" w:eastAsia="Times New Roman" w:hAnsi="Times New Roman" w:cs="Times New Roman"/>
        </w:rPr>
        <w:t xml:space="preserve">a. </w:t>
      </w:r>
    </w:p>
    <w:p w14:paraId="25F7DA5F" w14:textId="77777777" w:rsidR="008A7596" w:rsidRPr="001F7AA9" w:rsidRDefault="008A7596" w:rsidP="001F7AA9">
      <w:pPr>
        <w:spacing w:after="120" w:line="240" w:lineRule="auto"/>
        <w:jc w:val="both"/>
        <w:rPr>
          <w:rFonts w:ascii="Times New Roman" w:eastAsia="Times New Roman" w:hAnsi="Times New Roman" w:cs="Times New Roman"/>
        </w:rPr>
      </w:pPr>
    </w:p>
    <w:p w14:paraId="581AB28D" w14:textId="0238B360" w:rsidR="00A97D38" w:rsidRPr="001E57CE" w:rsidRDefault="00A97D38" w:rsidP="00F6277E">
      <w:pPr>
        <w:pStyle w:val="ListParagraph"/>
        <w:numPr>
          <w:ilvl w:val="0"/>
          <w:numId w:val="4"/>
        </w:numPr>
        <w:spacing w:after="120" w:line="240" w:lineRule="auto"/>
        <w:jc w:val="both"/>
        <w:rPr>
          <w:rFonts w:ascii="Times New Roman" w:eastAsia="Times New Roman" w:hAnsi="Times New Roman" w:cs="Times New Roman"/>
          <w:color w:val="4472C4" w:themeColor="accent1"/>
          <w:sz w:val="28"/>
          <w:szCs w:val="28"/>
        </w:rPr>
      </w:pPr>
      <w:r w:rsidRPr="001E57CE">
        <w:rPr>
          <w:rFonts w:ascii="Times New Roman" w:eastAsia="Times New Roman" w:hAnsi="Times New Roman" w:cs="Times New Roman"/>
          <w:b/>
          <w:bCs/>
          <w:color w:val="4472C4" w:themeColor="accent1"/>
          <w:sz w:val="28"/>
          <w:szCs w:val="28"/>
        </w:rPr>
        <w:t>Legal constraints surrounding women</w:t>
      </w:r>
      <w:r w:rsidR="0091287B" w:rsidRPr="001E57CE">
        <w:rPr>
          <w:rFonts w:ascii="Times New Roman" w:eastAsia="Times New Roman" w:hAnsi="Times New Roman" w:cs="Times New Roman"/>
          <w:b/>
          <w:bCs/>
          <w:color w:val="4472C4" w:themeColor="accent1"/>
          <w:sz w:val="28"/>
          <w:szCs w:val="28"/>
        </w:rPr>
        <w:t>’s</w:t>
      </w:r>
      <w:r w:rsidRPr="001E57CE">
        <w:rPr>
          <w:rFonts w:ascii="Times New Roman" w:eastAsia="Times New Roman" w:hAnsi="Times New Roman" w:cs="Times New Roman"/>
          <w:b/>
          <w:bCs/>
          <w:color w:val="4472C4" w:themeColor="accent1"/>
          <w:sz w:val="28"/>
          <w:szCs w:val="28"/>
        </w:rPr>
        <w:t xml:space="preserve"> economic activities in </w:t>
      </w:r>
      <w:r w:rsidR="0064152F" w:rsidRPr="001E57CE">
        <w:rPr>
          <w:rFonts w:ascii="Times New Roman" w:eastAsia="Times New Roman" w:hAnsi="Times New Roman" w:cs="Times New Roman"/>
          <w:b/>
          <w:bCs/>
          <w:color w:val="4472C4" w:themeColor="accent1"/>
          <w:sz w:val="28"/>
          <w:szCs w:val="28"/>
        </w:rPr>
        <w:t>Indonesia</w:t>
      </w:r>
      <w:r w:rsidRPr="001E57CE">
        <w:rPr>
          <w:rFonts w:ascii="Times New Roman" w:eastAsia="Times New Roman" w:hAnsi="Times New Roman" w:cs="Times New Roman"/>
          <w:color w:val="4472C4" w:themeColor="accent1"/>
          <w:sz w:val="28"/>
          <w:szCs w:val="28"/>
        </w:rPr>
        <w:t xml:space="preserve"> </w:t>
      </w:r>
    </w:p>
    <w:p w14:paraId="28007AD1" w14:textId="75B9E0C9" w:rsidR="008B1D75" w:rsidRDefault="008B1D75" w:rsidP="00F6277E">
      <w:pPr>
        <w:spacing w:after="120" w:line="240" w:lineRule="auto"/>
        <w:jc w:val="both"/>
        <w:rPr>
          <w:rFonts w:ascii="Times New Roman" w:eastAsia="Times New Roman" w:hAnsi="Times New Roman" w:cs="Times New Roman"/>
        </w:rPr>
      </w:pPr>
      <w:r w:rsidRPr="00CD2F11">
        <w:rPr>
          <w:rFonts w:ascii="Times New Roman" w:eastAsia="Times New Roman" w:hAnsi="Times New Roman" w:cs="Times New Roman"/>
          <w:b/>
          <w:bCs/>
        </w:rPr>
        <w:t xml:space="preserve">Over the past </w:t>
      </w:r>
      <w:r w:rsidR="0087463D">
        <w:rPr>
          <w:rFonts w:ascii="Times New Roman" w:eastAsia="Times New Roman" w:hAnsi="Times New Roman" w:cs="Times New Roman"/>
          <w:b/>
          <w:bCs/>
        </w:rPr>
        <w:t>50</w:t>
      </w:r>
      <w:r w:rsidRPr="00CD2F11">
        <w:rPr>
          <w:rFonts w:ascii="Times New Roman" w:eastAsia="Times New Roman" w:hAnsi="Times New Roman" w:cs="Times New Roman"/>
          <w:b/>
          <w:bCs/>
        </w:rPr>
        <w:t xml:space="preserve"> years, there have been significant improvements in the overall rights of Indonesian women</w:t>
      </w:r>
      <w:r w:rsidR="004F4906">
        <w:rPr>
          <w:rFonts w:ascii="Times New Roman" w:eastAsia="Times New Roman" w:hAnsi="Times New Roman" w:cs="Times New Roman"/>
          <w:b/>
          <w:bCs/>
        </w:rPr>
        <w:t>.</w:t>
      </w:r>
      <w:r w:rsidR="00156463">
        <w:rPr>
          <w:rFonts w:ascii="Times New Roman" w:eastAsia="Times New Roman" w:hAnsi="Times New Roman" w:cs="Times New Roman"/>
          <w:b/>
          <w:bCs/>
        </w:rPr>
        <w:t xml:space="preserve"> </w:t>
      </w:r>
      <w:r w:rsidR="00156463">
        <w:rPr>
          <w:rFonts w:ascii="Times New Roman" w:eastAsia="Times New Roman" w:hAnsi="Times New Roman" w:cs="Times New Roman"/>
        </w:rPr>
        <w:t xml:space="preserve">According to WBL </w:t>
      </w:r>
      <w:r w:rsidR="00156463" w:rsidRPr="008A7596">
        <w:rPr>
          <w:rFonts w:ascii="Times New Roman" w:eastAsia="Times New Roman" w:hAnsi="Times New Roman" w:cs="Times New Roman"/>
        </w:rPr>
        <w:t>2023, women's</w:t>
      </w:r>
      <w:r w:rsidR="00156463" w:rsidRPr="007C033A">
        <w:rPr>
          <w:rFonts w:ascii="Times New Roman" w:eastAsia="Times New Roman" w:hAnsi="Times New Roman" w:cs="Times New Roman"/>
        </w:rPr>
        <w:t xml:space="preserve"> legal rights increas</w:t>
      </w:r>
      <w:r w:rsidR="00156463">
        <w:rPr>
          <w:rFonts w:ascii="Times New Roman" w:eastAsia="Times New Roman" w:hAnsi="Times New Roman" w:cs="Times New Roman"/>
        </w:rPr>
        <w:t>ed</w:t>
      </w:r>
      <w:r w:rsidR="00156463" w:rsidRPr="007C033A">
        <w:rPr>
          <w:rFonts w:ascii="Times New Roman" w:eastAsia="Times New Roman" w:hAnsi="Times New Roman" w:cs="Times New Roman"/>
        </w:rPr>
        <w:t xml:space="preserve"> from 20 percent of men's rights in 1970 to over 70 percent in 2022.</w:t>
      </w:r>
      <w:r w:rsidR="00156463" w:rsidRPr="00156463">
        <w:rPr>
          <w:rFonts w:ascii="Times New Roman" w:eastAsia="Times New Roman" w:hAnsi="Times New Roman" w:cs="Times New Roman"/>
          <w:b/>
          <w:bCs/>
        </w:rPr>
        <w:t xml:space="preserve"> </w:t>
      </w:r>
      <w:r w:rsidR="004F4906" w:rsidRPr="00666C1D">
        <w:rPr>
          <w:rFonts w:ascii="Times New Roman" w:eastAsia="Times New Roman" w:hAnsi="Times New Roman" w:cs="Times New Roman"/>
        </w:rPr>
        <w:t>However, many</w:t>
      </w:r>
      <w:r w:rsidRPr="00666C1D">
        <w:rPr>
          <w:rFonts w:ascii="Times New Roman" w:eastAsia="Times New Roman" w:hAnsi="Times New Roman" w:cs="Times New Roman"/>
        </w:rPr>
        <w:t xml:space="preserve"> regulations governing economic activities </w:t>
      </w:r>
      <w:r w:rsidR="00E509EC">
        <w:rPr>
          <w:rFonts w:ascii="Times New Roman" w:eastAsia="Times New Roman" w:hAnsi="Times New Roman" w:cs="Times New Roman"/>
        </w:rPr>
        <w:t xml:space="preserve">in Indonesia </w:t>
      </w:r>
      <w:r w:rsidRPr="00666C1D">
        <w:rPr>
          <w:rFonts w:ascii="Times New Roman" w:eastAsia="Times New Roman" w:hAnsi="Times New Roman" w:cs="Times New Roman"/>
        </w:rPr>
        <w:t>still need to be adapted to accommodate</w:t>
      </w:r>
      <w:r w:rsidR="00E509EC">
        <w:rPr>
          <w:rFonts w:ascii="Times New Roman" w:eastAsia="Times New Roman" w:hAnsi="Times New Roman" w:cs="Times New Roman"/>
        </w:rPr>
        <w:t xml:space="preserve"> women’s </w:t>
      </w:r>
      <w:r w:rsidRPr="00666C1D">
        <w:rPr>
          <w:rFonts w:ascii="Times New Roman" w:eastAsia="Times New Roman" w:hAnsi="Times New Roman" w:cs="Times New Roman"/>
        </w:rPr>
        <w:t>increased economic participation.</w:t>
      </w:r>
      <w:r w:rsidRPr="00CD2F11">
        <w:rPr>
          <w:rFonts w:ascii="Times New Roman" w:eastAsia="Times New Roman" w:hAnsi="Times New Roman" w:cs="Times New Roman"/>
          <w:b/>
          <w:bCs/>
        </w:rPr>
        <w:t xml:space="preserve"> </w:t>
      </w:r>
      <w:r w:rsidRPr="00CD2F11">
        <w:rPr>
          <w:rFonts w:ascii="Times New Roman" w:eastAsia="Times New Roman" w:hAnsi="Times New Roman" w:cs="Times New Roman"/>
        </w:rPr>
        <w:t xml:space="preserve">The 1970s brought about greater equality in decision-making, which boosted women's economic security. Some notable changes include </w:t>
      </w:r>
      <w:r w:rsidR="00471FB2">
        <w:rPr>
          <w:rFonts w:ascii="Times New Roman" w:eastAsia="Times New Roman" w:hAnsi="Times New Roman" w:cs="Times New Roman"/>
        </w:rPr>
        <w:t>removing</w:t>
      </w:r>
      <w:r w:rsidR="00471FB2" w:rsidRPr="00CD2F11">
        <w:rPr>
          <w:rFonts w:ascii="Times New Roman" w:eastAsia="Times New Roman" w:hAnsi="Times New Roman" w:cs="Times New Roman"/>
        </w:rPr>
        <w:t xml:space="preserve"> the requirement for </w:t>
      </w:r>
      <w:r w:rsidR="00471FB2">
        <w:rPr>
          <w:rFonts w:ascii="Times New Roman" w:eastAsia="Times New Roman" w:hAnsi="Times New Roman" w:cs="Times New Roman"/>
        </w:rPr>
        <w:t xml:space="preserve">the </w:t>
      </w:r>
      <w:r w:rsidR="00471FB2" w:rsidRPr="00CD2F11">
        <w:rPr>
          <w:rFonts w:ascii="Times New Roman" w:eastAsia="Times New Roman" w:hAnsi="Times New Roman" w:cs="Times New Roman"/>
        </w:rPr>
        <w:t>husband</w:t>
      </w:r>
      <w:r w:rsidR="00E509EC">
        <w:rPr>
          <w:rFonts w:ascii="Times New Roman" w:eastAsia="Times New Roman" w:hAnsi="Times New Roman" w:cs="Times New Roman"/>
        </w:rPr>
        <w:t>’</w:t>
      </w:r>
      <w:r w:rsidR="00471FB2" w:rsidRPr="00CD2F11">
        <w:rPr>
          <w:rFonts w:ascii="Times New Roman" w:eastAsia="Times New Roman" w:hAnsi="Times New Roman" w:cs="Times New Roman"/>
        </w:rPr>
        <w:t>s consent for married women when making choices regarding residence, employment, or contracts</w:t>
      </w:r>
      <w:r w:rsidR="00471FB2">
        <w:rPr>
          <w:rFonts w:ascii="Times New Roman" w:eastAsia="Times New Roman" w:hAnsi="Times New Roman" w:cs="Times New Roman"/>
        </w:rPr>
        <w:t xml:space="preserve"> (</w:t>
      </w:r>
      <w:proofErr w:type="spellStart"/>
      <w:r w:rsidR="00471FB2">
        <w:rPr>
          <w:rFonts w:ascii="Times New Roman" w:eastAsia="Times New Roman" w:hAnsi="Times New Roman" w:cs="Times New Roman"/>
        </w:rPr>
        <w:t>GoI</w:t>
      </w:r>
      <w:proofErr w:type="spellEnd"/>
      <w:r w:rsidR="00471FB2">
        <w:rPr>
          <w:rFonts w:ascii="Times New Roman" w:eastAsia="Times New Roman" w:hAnsi="Times New Roman" w:cs="Times New Roman"/>
        </w:rPr>
        <w:t xml:space="preserve"> 1974) and </w:t>
      </w:r>
      <w:r w:rsidR="004F4906">
        <w:rPr>
          <w:rFonts w:ascii="Times New Roman" w:eastAsia="Times New Roman" w:hAnsi="Times New Roman" w:cs="Times New Roman"/>
        </w:rPr>
        <w:t>harmonizing</w:t>
      </w:r>
      <w:r w:rsidRPr="00CD2F11">
        <w:rPr>
          <w:rFonts w:ascii="Times New Roman" w:eastAsia="Times New Roman" w:hAnsi="Times New Roman" w:cs="Times New Roman"/>
        </w:rPr>
        <w:t xml:space="preserve"> the retirement age</w:t>
      </w:r>
      <w:r w:rsidR="003A238E">
        <w:rPr>
          <w:rFonts w:ascii="Times New Roman" w:eastAsia="Times New Roman" w:hAnsi="Times New Roman" w:cs="Times New Roman"/>
        </w:rPr>
        <w:t xml:space="preserve"> (</w:t>
      </w:r>
      <w:proofErr w:type="spellStart"/>
      <w:r w:rsidR="003A238E">
        <w:rPr>
          <w:rFonts w:ascii="Times New Roman" w:eastAsia="Times New Roman" w:hAnsi="Times New Roman" w:cs="Times New Roman"/>
        </w:rPr>
        <w:t>GoI</w:t>
      </w:r>
      <w:proofErr w:type="spellEnd"/>
      <w:r w:rsidR="003A238E">
        <w:rPr>
          <w:rFonts w:ascii="Times New Roman" w:eastAsia="Times New Roman" w:hAnsi="Times New Roman" w:cs="Times New Roman"/>
        </w:rPr>
        <w:t xml:space="preserve"> 1977)</w:t>
      </w:r>
      <w:r w:rsidR="0028709E">
        <w:rPr>
          <w:rFonts w:ascii="Times New Roman" w:eastAsia="Times New Roman" w:hAnsi="Times New Roman" w:cs="Times New Roman"/>
        </w:rPr>
        <w:t>.</w:t>
      </w:r>
      <w:r w:rsidR="006A0D3A" w:rsidRPr="00CD2F11">
        <w:rPr>
          <w:rFonts w:ascii="Times New Roman" w:eastAsia="Times New Roman" w:hAnsi="Times New Roman" w:cs="Times New Roman"/>
        </w:rPr>
        <w:t xml:space="preserve"> </w:t>
      </w:r>
      <w:r w:rsidRPr="00CD2F11">
        <w:rPr>
          <w:rFonts w:ascii="Times New Roman" w:eastAsia="Times New Roman" w:hAnsi="Times New Roman" w:cs="Times New Roman"/>
        </w:rPr>
        <w:t xml:space="preserve">Despite these positive changes, there are still contradictory provisions within the legal framework that impose social norm constraints on women in the private sector. Inadequate laws against discrimination in the </w:t>
      </w:r>
      <w:r w:rsidR="00167669">
        <w:rPr>
          <w:rFonts w:ascii="Times New Roman" w:eastAsia="Times New Roman" w:hAnsi="Times New Roman" w:cs="Times New Roman"/>
        </w:rPr>
        <w:t xml:space="preserve">workplace </w:t>
      </w:r>
      <w:r w:rsidRPr="00CD2F11">
        <w:rPr>
          <w:rFonts w:ascii="Times New Roman" w:eastAsia="Times New Roman" w:hAnsi="Times New Roman" w:cs="Times New Roman"/>
        </w:rPr>
        <w:t xml:space="preserve">and marriage persist. For instance, </w:t>
      </w:r>
      <w:r w:rsidR="003602DD" w:rsidRPr="003602DD">
        <w:rPr>
          <w:rFonts w:ascii="Times New Roman" w:eastAsia="Times New Roman" w:hAnsi="Times New Roman" w:cs="Times New Roman"/>
        </w:rPr>
        <w:t>Law No. 1</w:t>
      </w:r>
      <w:r w:rsidR="00E64A42">
        <w:rPr>
          <w:rFonts w:ascii="Times New Roman" w:eastAsia="Times New Roman" w:hAnsi="Times New Roman" w:cs="Times New Roman"/>
        </w:rPr>
        <w:t>/</w:t>
      </w:r>
      <w:r w:rsidR="003602DD" w:rsidRPr="003602DD">
        <w:rPr>
          <w:rFonts w:ascii="Times New Roman" w:eastAsia="Times New Roman" w:hAnsi="Times New Roman" w:cs="Times New Roman"/>
        </w:rPr>
        <w:t>197</w:t>
      </w:r>
      <w:r w:rsidR="003602DD">
        <w:rPr>
          <w:rFonts w:ascii="Times New Roman" w:eastAsia="Times New Roman" w:hAnsi="Times New Roman" w:cs="Times New Roman"/>
        </w:rPr>
        <w:t>4 on Marriage</w:t>
      </w:r>
      <w:r w:rsidR="00167669">
        <w:rPr>
          <w:rFonts w:ascii="Times New Roman" w:eastAsia="Times New Roman" w:hAnsi="Times New Roman" w:cs="Times New Roman"/>
        </w:rPr>
        <w:t xml:space="preserve"> </w:t>
      </w:r>
      <w:r w:rsidR="001B603C">
        <w:rPr>
          <w:rFonts w:ascii="Times New Roman" w:eastAsia="Times New Roman" w:hAnsi="Times New Roman" w:cs="Times New Roman"/>
        </w:rPr>
        <w:t>reinforces traditional gender roles (men as breadwinners and women primarily responsible for family welfare), and continues to limit women</w:t>
      </w:r>
      <w:r w:rsidR="00E64A42">
        <w:rPr>
          <w:rFonts w:ascii="Times New Roman" w:eastAsia="Times New Roman" w:hAnsi="Times New Roman" w:cs="Times New Roman"/>
        </w:rPr>
        <w:t>’s</w:t>
      </w:r>
      <w:r w:rsidR="001B603C">
        <w:rPr>
          <w:rFonts w:ascii="Times New Roman" w:eastAsia="Times New Roman" w:hAnsi="Times New Roman" w:cs="Times New Roman"/>
        </w:rPr>
        <w:t xml:space="preserve"> decision-making powers</w:t>
      </w:r>
      <w:r w:rsidR="003A238E">
        <w:rPr>
          <w:rFonts w:ascii="Times New Roman" w:eastAsia="Times New Roman" w:hAnsi="Times New Roman" w:cs="Times New Roman"/>
        </w:rPr>
        <w:t>.</w:t>
      </w:r>
      <w:r w:rsidR="003A238E">
        <w:rPr>
          <w:rStyle w:val="FootnoteReference"/>
          <w:rFonts w:ascii="Times New Roman" w:eastAsia="Times New Roman" w:hAnsi="Times New Roman" w:cs="Times New Roman"/>
        </w:rPr>
        <w:footnoteReference w:id="3"/>
      </w:r>
      <w:r w:rsidRPr="00CD2F11">
        <w:rPr>
          <w:rFonts w:ascii="Times New Roman" w:eastAsia="Times New Roman" w:hAnsi="Times New Roman" w:cs="Times New Roman"/>
        </w:rPr>
        <w:t xml:space="preserve"> Consequently, women in </w:t>
      </w:r>
      <w:r w:rsidR="00A24625">
        <w:rPr>
          <w:rFonts w:ascii="Times New Roman" w:eastAsia="Times New Roman" w:hAnsi="Times New Roman" w:cs="Times New Roman"/>
        </w:rPr>
        <w:t xml:space="preserve">more </w:t>
      </w:r>
      <w:r w:rsidRPr="00CD2F11">
        <w:rPr>
          <w:rFonts w:ascii="Times New Roman" w:eastAsia="Times New Roman" w:hAnsi="Times New Roman" w:cs="Times New Roman"/>
        </w:rPr>
        <w:t>traditional families often face significant barriers when making personal or economic decisions, particularly when starting a business or obtaining loans without their husband's permission.</w:t>
      </w:r>
      <w:r w:rsidR="00EA2079" w:rsidRPr="00CD2F11">
        <w:rPr>
          <w:rFonts w:ascii="Times New Roman" w:eastAsia="Times New Roman" w:hAnsi="Times New Roman" w:cs="Times New Roman"/>
        </w:rPr>
        <w:t xml:space="preserve"> </w:t>
      </w:r>
      <w:r w:rsidRPr="00CD2F11">
        <w:rPr>
          <w:rFonts w:ascii="Times New Roman" w:eastAsia="Times New Roman" w:hAnsi="Times New Roman" w:cs="Times New Roman"/>
        </w:rPr>
        <w:t xml:space="preserve">More recently, </w:t>
      </w:r>
      <w:r w:rsidR="0087463D">
        <w:rPr>
          <w:rFonts w:ascii="Times New Roman" w:eastAsia="Times New Roman" w:hAnsi="Times New Roman" w:cs="Times New Roman"/>
        </w:rPr>
        <w:t>Indonesia</w:t>
      </w:r>
      <w:r w:rsidRPr="00CD2F11">
        <w:rPr>
          <w:rFonts w:ascii="Times New Roman" w:eastAsia="Times New Roman" w:hAnsi="Times New Roman" w:cs="Times New Roman"/>
        </w:rPr>
        <w:t xml:space="preserve"> has introduced various laws affecting </w:t>
      </w:r>
      <w:r w:rsidR="0087463D">
        <w:rPr>
          <w:rFonts w:ascii="Times New Roman" w:eastAsia="Times New Roman" w:hAnsi="Times New Roman" w:cs="Times New Roman"/>
        </w:rPr>
        <w:t xml:space="preserve">the activities of </w:t>
      </w:r>
      <w:r w:rsidR="00E64A42">
        <w:rPr>
          <w:rFonts w:ascii="Times New Roman" w:eastAsia="Times New Roman" w:hAnsi="Times New Roman" w:cs="Times New Roman"/>
        </w:rPr>
        <w:t>m</w:t>
      </w:r>
      <w:r w:rsidR="00A24625">
        <w:rPr>
          <w:rFonts w:ascii="Times New Roman" w:eastAsia="Times New Roman" w:hAnsi="Times New Roman" w:cs="Times New Roman"/>
        </w:rPr>
        <w:t xml:space="preserve">icro, </w:t>
      </w:r>
      <w:r w:rsidR="00E64A42">
        <w:rPr>
          <w:rFonts w:ascii="Times New Roman" w:eastAsia="Times New Roman" w:hAnsi="Times New Roman" w:cs="Times New Roman"/>
        </w:rPr>
        <w:t>s</w:t>
      </w:r>
      <w:r w:rsidRPr="00CD2F11">
        <w:rPr>
          <w:rFonts w:ascii="Times New Roman" w:eastAsia="Times New Roman" w:hAnsi="Times New Roman" w:cs="Times New Roman"/>
        </w:rPr>
        <w:t xml:space="preserve">mall and </w:t>
      </w:r>
      <w:r w:rsidR="00E64A42">
        <w:rPr>
          <w:rFonts w:ascii="Times New Roman" w:eastAsia="Times New Roman" w:hAnsi="Times New Roman" w:cs="Times New Roman"/>
        </w:rPr>
        <w:t>m</w:t>
      </w:r>
      <w:r w:rsidRPr="00CD2F11">
        <w:rPr>
          <w:rFonts w:ascii="Times New Roman" w:eastAsia="Times New Roman" w:hAnsi="Times New Roman" w:cs="Times New Roman"/>
        </w:rPr>
        <w:t xml:space="preserve">edium </w:t>
      </w:r>
      <w:r w:rsidR="00E64A42">
        <w:rPr>
          <w:rFonts w:ascii="Times New Roman" w:eastAsia="Times New Roman" w:hAnsi="Times New Roman" w:cs="Times New Roman"/>
        </w:rPr>
        <w:t>e</w:t>
      </w:r>
      <w:r w:rsidRPr="00CD2F11">
        <w:rPr>
          <w:rFonts w:ascii="Times New Roman" w:eastAsia="Times New Roman" w:hAnsi="Times New Roman" w:cs="Times New Roman"/>
        </w:rPr>
        <w:t>nterprises (</w:t>
      </w:r>
      <w:r w:rsidR="00A24625">
        <w:rPr>
          <w:rFonts w:ascii="Times New Roman" w:eastAsia="Times New Roman" w:hAnsi="Times New Roman" w:cs="Times New Roman"/>
        </w:rPr>
        <w:t>M</w:t>
      </w:r>
      <w:r w:rsidRPr="00CD2F11">
        <w:rPr>
          <w:rFonts w:ascii="Times New Roman" w:eastAsia="Times New Roman" w:hAnsi="Times New Roman" w:cs="Times New Roman"/>
        </w:rPr>
        <w:t>SMEs)</w:t>
      </w:r>
      <w:r w:rsidR="00A24625">
        <w:rPr>
          <w:rFonts w:ascii="Times New Roman" w:eastAsia="Times New Roman" w:hAnsi="Times New Roman" w:cs="Times New Roman"/>
        </w:rPr>
        <w:t>. For instance, Law No. 20</w:t>
      </w:r>
      <w:r w:rsidR="00E64A42">
        <w:rPr>
          <w:rFonts w:ascii="Times New Roman" w:eastAsia="Times New Roman" w:hAnsi="Times New Roman" w:cs="Times New Roman"/>
        </w:rPr>
        <w:t>/</w:t>
      </w:r>
      <w:r w:rsidR="00A24625">
        <w:rPr>
          <w:rFonts w:ascii="Times New Roman" w:eastAsia="Times New Roman" w:hAnsi="Times New Roman" w:cs="Times New Roman"/>
        </w:rPr>
        <w:t>2008 f</w:t>
      </w:r>
      <w:r w:rsidR="00A24625" w:rsidRPr="00A24625">
        <w:rPr>
          <w:rFonts w:ascii="Times New Roman" w:eastAsia="Times New Roman" w:hAnsi="Times New Roman" w:cs="Times New Roman"/>
        </w:rPr>
        <w:t>acilitates the development of MSMEs by establishing provisions for their establishment, registration, licensing, and assistance, while also enhancing access to finance, technology, markets, and business development services</w:t>
      </w:r>
      <w:r w:rsidR="00A24625">
        <w:rPr>
          <w:rFonts w:ascii="Times New Roman" w:eastAsia="Times New Roman" w:hAnsi="Times New Roman" w:cs="Times New Roman"/>
        </w:rPr>
        <w:t xml:space="preserve">. </w:t>
      </w:r>
      <w:r w:rsidR="001F7FE2">
        <w:rPr>
          <w:rFonts w:ascii="Times New Roman" w:eastAsia="Times New Roman" w:hAnsi="Times New Roman" w:cs="Times New Roman"/>
        </w:rPr>
        <w:t>It</w:t>
      </w:r>
      <w:r w:rsidR="00A24625">
        <w:rPr>
          <w:rFonts w:ascii="Times New Roman" w:eastAsia="Times New Roman" w:hAnsi="Times New Roman" w:cs="Times New Roman"/>
        </w:rPr>
        <w:t xml:space="preserve"> </w:t>
      </w:r>
      <w:r w:rsidR="001F7FE2">
        <w:rPr>
          <w:rFonts w:ascii="Times New Roman" w:eastAsia="Times New Roman" w:hAnsi="Times New Roman" w:cs="Times New Roman"/>
        </w:rPr>
        <w:t xml:space="preserve">places </w:t>
      </w:r>
      <w:r w:rsidR="001F7FE2" w:rsidRPr="00A24625">
        <w:rPr>
          <w:rFonts w:ascii="Times New Roman" w:eastAsia="Times New Roman" w:hAnsi="Times New Roman" w:cs="Times New Roman"/>
        </w:rPr>
        <w:t>an</w:t>
      </w:r>
      <w:r w:rsidR="00A24625" w:rsidRPr="00A24625">
        <w:rPr>
          <w:rFonts w:ascii="Times New Roman" w:eastAsia="Times New Roman" w:hAnsi="Times New Roman" w:cs="Times New Roman"/>
        </w:rPr>
        <w:t xml:space="preserve"> emphasis on fostering entrepreneurship, innovation, and competitiveness to stimulate economic growth and job creation.</w:t>
      </w:r>
      <w:r w:rsidRPr="00CD2F11">
        <w:rPr>
          <w:rFonts w:ascii="Times New Roman" w:eastAsia="Times New Roman" w:hAnsi="Times New Roman" w:cs="Times New Roman"/>
        </w:rPr>
        <w:t xml:space="preserve"> </w:t>
      </w:r>
      <w:r w:rsidR="00EA2079" w:rsidRPr="00CD2F11">
        <w:rPr>
          <w:rFonts w:ascii="Times New Roman" w:eastAsia="Times New Roman" w:hAnsi="Times New Roman" w:cs="Times New Roman"/>
        </w:rPr>
        <w:t>T</w:t>
      </w:r>
      <w:r w:rsidRPr="00CD2F11">
        <w:rPr>
          <w:rFonts w:ascii="Times New Roman" w:eastAsia="Times New Roman" w:hAnsi="Times New Roman" w:cs="Times New Roman"/>
        </w:rPr>
        <w:t xml:space="preserve">hese laws </w:t>
      </w:r>
      <w:r w:rsidR="001F7FE2">
        <w:rPr>
          <w:rFonts w:ascii="Times New Roman" w:eastAsia="Times New Roman" w:hAnsi="Times New Roman" w:cs="Times New Roman"/>
        </w:rPr>
        <w:t>are</w:t>
      </w:r>
      <w:r w:rsidR="001F7FE2" w:rsidRPr="00CD2F11">
        <w:rPr>
          <w:rFonts w:ascii="Times New Roman" w:eastAsia="Times New Roman" w:hAnsi="Times New Roman" w:cs="Times New Roman"/>
        </w:rPr>
        <w:t xml:space="preserve"> </w:t>
      </w:r>
      <w:r w:rsidRPr="00CD2F11">
        <w:rPr>
          <w:rFonts w:ascii="Times New Roman" w:eastAsia="Times New Roman" w:hAnsi="Times New Roman" w:cs="Times New Roman"/>
        </w:rPr>
        <w:t xml:space="preserve">gender-neutral and </w:t>
      </w:r>
      <w:r w:rsidR="00355429">
        <w:rPr>
          <w:rFonts w:ascii="Times New Roman" w:eastAsia="Times New Roman" w:hAnsi="Times New Roman" w:cs="Times New Roman"/>
        </w:rPr>
        <w:t>do not</w:t>
      </w:r>
      <w:r w:rsidR="00355429" w:rsidRPr="00CD2F11">
        <w:rPr>
          <w:rFonts w:ascii="Times New Roman" w:eastAsia="Times New Roman" w:hAnsi="Times New Roman" w:cs="Times New Roman"/>
        </w:rPr>
        <w:t xml:space="preserve"> </w:t>
      </w:r>
      <w:r w:rsidR="00355429">
        <w:rPr>
          <w:rFonts w:ascii="Times New Roman" w:eastAsia="Times New Roman" w:hAnsi="Times New Roman" w:cs="Times New Roman"/>
        </w:rPr>
        <w:t>recognize</w:t>
      </w:r>
      <w:r w:rsidR="00E64A42">
        <w:rPr>
          <w:rFonts w:ascii="Times New Roman" w:eastAsia="Times New Roman" w:hAnsi="Times New Roman" w:cs="Times New Roman"/>
        </w:rPr>
        <w:t>,</w:t>
      </w:r>
      <w:r w:rsidR="00355429">
        <w:rPr>
          <w:rFonts w:ascii="Times New Roman" w:eastAsia="Times New Roman" w:hAnsi="Times New Roman" w:cs="Times New Roman"/>
        </w:rPr>
        <w:t xml:space="preserve"> nor </w:t>
      </w:r>
      <w:r w:rsidRPr="00CD2F11">
        <w:rPr>
          <w:rFonts w:ascii="Times New Roman" w:eastAsia="Times New Roman" w:hAnsi="Times New Roman" w:cs="Times New Roman"/>
        </w:rPr>
        <w:t>address</w:t>
      </w:r>
      <w:r w:rsidR="00E64A42">
        <w:rPr>
          <w:rFonts w:ascii="Times New Roman" w:eastAsia="Times New Roman" w:hAnsi="Times New Roman" w:cs="Times New Roman"/>
        </w:rPr>
        <w:t>,</w:t>
      </w:r>
      <w:r w:rsidRPr="00CD2F11">
        <w:rPr>
          <w:rFonts w:ascii="Times New Roman" w:eastAsia="Times New Roman" w:hAnsi="Times New Roman" w:cs="Times New Roman"/>
        </w:rPr>
        <w:t xml:space="preserve"> the specific challenges faced by women in terms of discrimination, harassment, and childcare. </w:t>
      </w:r>
      <w:r w:rsidR="00853287" w:rsidRPr="00CD2F11">
        <w:rPr>
          <w:rFonts w:ascii="Times New Roman" w:eastAsia="Times New Roman" w:hAnsi="Times New Roman" w:cs="Times New Roman"/>
        </w:rPr>
        <w:t xml:space="preserve">To provide concrete suggestions, this </w:t>
      </w:r>
      <w:r w:rsidR="00FB70BB">
        <w:rPr>
          <w:rFonts w:ascii="Times New Roman" w:eastAsia="Times New Roman" w:hAnsi="Times New Roman" w:cs="Times New Roman"/>
        </w:rPr>
        <w:t>issue</w:t>
      </w:r>
      <w:r w:rsidRPr="00CD2F11">
        <w:rPr>
          <w:rFonts w:ascii="Times New Roman" w:eastAsia="Times New Roman" w:hAnsi="Times New Roman" w:cs="Times New Roman"/>
        </w:rPr>
        <w:t xml:space="preserve"> focus</w:t>
      </w:r>
      <w:r w:rsidR="00E64A42">
        <w:rPr>
          <w:rFonts w:ascii="Times New Roman" w:eastAsia="Times New Roman" w:hAnsi="Times New Roman" w:cs="Times New Roman"/>
        </w:rPr>
        <w:t>es</w:t>
      </w:r>
      <w:r w:rsidRPr="00CD2F11">
        <w:rPr>
          <w:rFonts w:ascii="Times New Roman" w:eastAsia="Times New Roman" w:hAnsi="Times New Roman" w:cs="Times New Roman"/>
        </w:rPr>
        <w:t xml:space="preserve"> on three aspects</w:t>
      </w:r>
      <w:r w:rsidR="00853287" w:rsidRPr="00CD2F11">
        <w:rPr>
          <w:rFonts w:ascii="Times New Roman" w:eastAsia="Times New Roman" w:hAnsi="Times New Roman" w:cs="Times New Roman"/>
        </w:rPr>
        <w:t xml:space="preserve"> of the current regulations</w:t>
      </w:r>
      <w:r w:rsidRPr="00CD2F11">
        <w:rPr>
          <w:rFonts w:ascii="Times New Roman" w:eastAsia="Times New Roman" w:hAnsi="Times New Roman" w:cs="Times New Roman"/>
        </w:rPr>
        <w:t xml:space="preserve">: labor, tax, and </w:t>
      </w:r>
      <w:r w:rsidR="004F4906">
        <w:rPr>
          <w:rFonts w:ascii="Times New Roman" w:eastAsia="Times New Roman" w:hAnsi="Times New Roman" w:cs="Times New Roman"/>
        </w:rPr>
        <w:t>asset</w:t>
      </w:r>
      <w:r w:rsidR="004F4906" w:rsidRPr="00CD2F11">
        <w:rPr>
          <w:rFonts w:ascii="Times New Roman" w:eastAsia="Times New Roman" w:hAnsi="Times New Roman" w:cs="Times New Roman"/>
        </w:rPr>
        <w:t xml:space="preserve"> </w:t>
      </w:r>
      <w:r w:rsidR="00B42D0E" w:rsidRPr="00CD2F11">
        <w:rPr>
          <w:rFonts w:ascii="Times New Roman" w:eastAsia="Times New Roman" w:hAnsi="Times New Roman" w:cs="Times New Roman"/>
        </w:rPr>
        <w:t>ownership (</w:t>
      </w:r>
      <w:r w:rsidR="004F4906">
        <w:rPr>
          <w:rFonts w:ascii="Times New Roman" w:eastAsia="Times New Roman" w:hAnsi="Times New Roman" w:cs="Times New Roman"/>
        </w:rPr>
        <w:t>primarily</w:t>
      </w:r>
      <w:r w:rsidR="004F4906" w:rsidRPr="00CD2F11">
        <w:rPr>
          <w:rFonts w:ascii="Times New Roman" w:eastAsia="Times New Roman" w:hAnsi="Times New Roman" w:cs="Times New Roman"/>
        </w:rPr>
        <w:t xml:space="preserve"> </w:t>
      </w:r>
      <w:r w:rsidR="00B42D0E" w:rsidRPr="00CD2F11">
        <w:rPr>
          <w:rFonts w:ascii="Times New Roman" w:eastAsia="Times New Roman" w:hAnsi="Times New Roman" w:cs="Times New Roman"/>
        </w:rPr>
        <w:t>through inheritance)</w:t>
      </w:r>
      <w:r w:rsidRPr="00CD2F11">
        <w:rPr>
          <w:rFonts w:ascii="Times New Roman" w:eastAsia="Times New Roman" w:hAnsi="Times New Roman" w:cs="Times New Roman"/>
        </w:rPr>
        <w:t>.</w:t>
      </w:r>
    </w:p>
    <w:p w14:paraId="3F1FAB2C" w14:textId="78013CC8" w:rsidR="00A97D38" w:rsidRPr="001E57CE" w:rsidRDefault="00A97D38" w:rsidP="00A97D38">
      <w:pPr>
        <w:pStyle w:val="ListParagraph"/>
        <w:numPr>
          <w:ilvl w:val="0"/>
          <w:numId w:val="6"/>
        </w:numPr>
        <w:spacing w:after="120" w:line="240" w:lineRule="auto"/>
        <w:rPr>
          <w:rFonts w:ascii="Times New Roman" w:eastAsia="Times New Roman" w:hAnsi="Times New Roman" w:cs="Times New Roman"/>
          <w:b/>
          <w:bCs/>
          <w:sz w:val="24"/>
          <w:szCs w:val="24"/>
        </w:rPr>
      </w:pPr>
      <w:r w:rsidRPr="001E57CE">
        <w:rPr>
          <w:rFonts w:ascii="Times New Roman" w:eastAsia="Times New Roman" w:hAnsi="Times New Roman" w:cs="Times New Roman"/>
          <w:b/>
          <w:bCs/>
          <w:sz w:val="24"/>
          <w:szCs w:val="24"/>
        </w:rPr>
        <w:lastRenderedPageBreak/>
        <w:t xml:space="preserve">Labor law constraints    </w:t>
      </w:r>
    </w:p>
    <w:p w14:paraId="55FAAC1C" w14:textId="30103177" w:rsidR="00754F91" w:rsidRDefault="009C5BE8" w:rsidP="00754F91">
      <w:pPr>
        <w:jc w:val="both"/>
        <w:rPr>
          <w:rFonts w:ascii="Times New Roman" w:hAnsi="Times New Roman" w:cs="Times New Roman"/>
        </w:rPr>
      </w:pPr>
      <w:r w:rsidRPr="00CD2F11">
        <w:rPr>
          <w:rFonts w:ascii="Times New Roman" w:hAnsi="Times New Roman" w:cs="Times New Roman"/>
          <w:b/>
          <w:bCs/>
        </w:rPr>
        <w:t xml:space="preserve">The main shortcomings in the Labor </w:t>
      </w:r>
      <w:r w:rsidR="00E64A42">
        <w:rPr>
          <w:rFonts w:ascii="Times New Roman" w:hAnsi="Times New Roman" w:cs="Times New Roman"/>
          <w:b/>
          <w:bCs/>
        </w:rPr>
        <w:t>L</w:t>
      </w:r>
      <w:r w:rsidRPr="00CD2F11">
        <w:rPr>
          <w:rFonts w:ascii="Times New Roman" w:hAnsi="Times New Roman" w:cs="Times New Roman"/>
          <w:b/>
          <w:bCs/>
        </w:rPr>
        <w:t xml:space="preserve">aw </w:t>
      </w:r>
      <w:r w:rsidR="00E64A42">
        <w:rPr>
          <w:rFonts w:ascii="Times New Roman" w:hAnsi="Times New Roman" w:cs="Times New Roman"/>
          <w:b/>
          <w:bCs/>
        </w:rPr>
        <w:t xml:space="preserve">in Indonesia </w:t>
      </w:r>
      <w:r w:rsidRPr="00CD2F11">
        <w:rPr>
          <w:rFonts w:ascii="Times New Roman" w:hAnsi="Times New Roman" w:cs="Times New Roman"/>
          <w:b/>
          <w:bCs/>
        </w:rPr>
        <w:t xml:space="preserve">relevant </w:t>
      </w:r>
      <w:r w:rsidR="004F4906">
        <w:rPr>
          <w:rFonts w:ascii="Times New Roman" w:hAnsi="Times New Roman" w:cs="Times New Roman"/>
          <w:b/>
          <w:bCs/>
        </w:rPr>
        <w:t>to</w:t>
      </w:r>
      <w:r w:rsidR="004F4906" w:rsidRPr="00CD2F11">
        <w:rPr>
          <w:rFonts w:ascii="Times New Roman" w:hAnsi="Times New Roman" w:cs="Times New Roman"/>
          <w:b/>
          <w:bCs/>
        </w:rPr>
        <w:t xml:space="preserve"> </w:t>
      </w:r>
      <w:r w:rsidRPr="00CD2F11">
        <w:rPr>
          <w:rFonts w:ascii="Times New Roman" w:hAnsi="Times New Roman" w:cs="Times New Roman"/>
          <w:b/>
          <w:bCs/>
        </w:rPr>
        <w:t xml:space="preserve">women are </w:t>
      </w:r>
      <w:r w:rsidR="0087463D">
        <w:rPr>
          <w:rFonts w:ascii="Times New Roman" w:hAnsi="Times New Roman" w:cs="Times New Roman"/>
          <w:b/>
          <w:bCs/>
        </w:rPr>
        <w:t xml:space="preserve">in </w:t>
      </w:r>
      <w:r w:rsidRPr="00CD2F11">
        <w:rPr>
          <w:rFonts w:ascii="Times New Roman" w:hAnsi="Times New Roman" w:cs="Times New Roman"/>
          <w:b/>
          <w:bCs/>
        </w:rPr>
        <w:t>childcare and equal pay.</w:t>
      </w:r>
      <w:r w:rsidRPr="00CD2F11">
        <w:rPr>
          <w:rFonts w:ascii="Times New Roman" w:hAnsi="Times New Roman" w:cs="Times New Roman"/>
        </w:rPr>
        <w:t xml:space="preserve"> </w:t>
      </w:r>
      <w:r w:rsidR="004671EB">
        <w:rPr>
          <w:rFonts w:ascii="Times New Roman" w:hAnsi="Times New Roman" w:cs="Times New Roman"/>
        </w:rPr>
        <w:t>The Indonesian Labor Law (</w:t>
      </w:r>
      <w:r w:rsidR="00BC67E0" w:rsidRPr="00CD2F11">
        <w:rPr>
          <w:rFonts w:ascii="Times New Roman" w:hAnsi="Times New Roman" w:cs="Times New Roman"/>
        </w:rPr>
        <w:t xml:space="preserve">Law </w:t>
      </w:r>
      <w:r w:rsidR="00E64A42">
        <w:rPr>
          <w:rFonts w:ascii="Times New Roman" w:hAnsi="Times New Roman" w:cs="Times New Roman"/>
        </w:rPr>
        <w:t>No. 13/</w:t>
      </w:r>
      <w:r w:rsidR="00BC67E0" w:rsidRPr="00CD2F11">
        <w:rPr>
          <w:rFonts w:ascii="Times New Roman" w:hAnsi="Times New Roman" w:cs="Times New Roman"/>
        </w:rPr>
        <w:t>2003</w:t>
      </w:r>
      <w:r w:rsidR="004671EB">
        <w:rPr>
          <w:rFonts w:ascii="Times New Roman" w:hAnsi="Times New Roman" w:cs="Times New Roman"/>
        </w:rPr>
        <w:t xml:space="preserve"> on Manpower)</w:t>
      </w:r>
      <w:r w:rsidR="00BC67E0" w:rsidRPr="00CD2F11">
        <w:rPr>
          <w:rFonts w:ascii="Times New Roman" w:hAnsi="Times New Roman" w:cs="Times New Roman"/>
        </w:rPr>
        <w:t xml:space="preserve">, as amended by Law No. </w:t>
      </w:r>
      <w:r w:rsidR="00E64A42">
        <w:rPr>
          <w:rFonts w:ascii="Times New Roman" w:hAnsi="Times New Roman" w:cs="Times New Roman"/>
        </w:rPr>
        <w:t>2/</w:t>
      </w:r>
      <w:r w:rsidR="00BC67E0" w:rsidRPr="00CD2F11">
        <w:rPr>
          <w:rFonts w:ascii="Times New Roman" w:hAnsi="Times New Roman" w:cs="Times New Roman"/>
        </w:rPr>
        <w:t xml:space="preserve">2022 on Job Creation </w:t>
      </w:r>
      <w:bookmarkStart w:id="0" w:name="_Hlk153563145"/>
      <w:r w:rsidR="00BC67E0" w:rsidRPr="00CD2F11">
        <w:rPr>
          <w:rFonts w:ascii="Times New Roman" w:hAnsi="Times New Roman" w:cs="Times New Roman"/>
        </w:rPr>
        <w:t xml:space="preserve">and Government Regulation </w:t>
      </w:r>
      <w:bookmarkEnd w:id="0"/>
      <w:r w:rsidR="00BC67E0" w:rsidRPr="00CD2F11">
        <w:rPr>
          <w:rFonts w:ascii="Times New Roman" w:hAnsi="Times New Roman" w:cs="Times New Roman"/>
        </w:rPr>
        <w:t xml:space="preserve">No. </w:t>
      </w:r>
      <w:r w:rsidR="00BC67E0" w:rsidRPr="004671EB">
        <w:rPr>
          <w:rFonts w:ascii="Times New Roman" w:hAnsi="Times New Roman" w:cs="Times New Roman"/>
        </w:rPr>
        <w:t>35</w:t>
      </w:r>
      <w:r w:rsidR="00E64A42" w:rsidRPr="004671EB">
        <w:rPr>
          <w:rFonts w:ascii="Times New Roman" w:hAnsi="Times New Roman" w:cs="Times New Roman"/>
        </w:rPr>
        <w:t>/</w:t>
      </w:r>
      <w:r w:rsidR="00BC67E0" w:rsidRPr="004671EB">
        <w:rPr>
          <w:rFonts w:ascii="Times New Roman" w:hAnsi="Times New Roman" w:cs="Times New Roman"/>
        </w:rPr>
        <w:t>2021,</w:t>
      </w:r>
      <w:r w:rsidR="00BC67E0" w:rsidRPr="00CD2F11">
        <w:rPr>
          <w:rFonts w:ascii="Times New Roman" w:hAnsi="Times New Roman" w:cs="Times New Roman"/>
        </w:rPr>
        <w:t xml:space="preserve"> serves as the regulatory framework for employment provisions in Indonesia. These regulations govern various aspects of employment, including working hours, holidays, rest periods, wages, overtime, leave, and termination of employment. While they provide a foundation for employment rights and conditions, there is room for improvement in certain areas to enhance gender equality in the private sector and </w:t>
      </w:r>
      <w:r w:rsidR="0087463D">
        <w:rPr>
          <w:rFonts w:ascii="Times New Roman" w:hAnsi="Times New Roman" w:cs="Times New Roman"/>
        </w:rPr>
        <w:t xml:space="preserve">encourage </w:t>
      </w:r>
      <w:r w:rsidR="00BC67E0" w:rsidRPr="00CD2F11">
        <w:rPr>
          <w:rFonts w:ascii="Times New Roman" w:hAnsi="Times New Roman" w:cs="Times New Roman"/>
        </w:rPr>
        <w:t>women</w:t>
      </w:r>
      <w:r w:rsidR="00FB70BB">
        <w:rPr>
          <w:rFonts w:ascii="Times New Roman" w:hAnsi="Times New Roman" w:cs="Times New Roman"/>
        </w:rPr>
        <w:t>’</w:t>
      </w:r>
      <w:r w:rsidR="00BC67E0" w:rsidRPr="00CD2F11">
        <w:rPr>
          <w:rFonts w:ascii="Times New Roman" w:hAnsi="Times New Roman" w:cs="Times New Roman"/>
        </w:rPr>
        <w:t xml:space="preserve">s </w:t>
      </w:r>
      <w:r w:rsidR="0087463D">
        <w:rPr>
          <w:rFonts w:ascii="Times New Roman" w:hAnsi="Times New Roman" w:cs="Times New Roman"/>
        </w:rPr>
        <w:t>participation in</w:t>
      </w:r>
      <w:r w:rsidR="00BC67E0" w:rsidRPr="00CD2F11">
        <w:rPr>
          <w:rFonts w:ascii="Times New Roman" w:hAnsi="Times New Roman" w:cs="Times New Roman"/>
        </w:rPr>
        <w:t xml:space="preserve"> the labor force</w:t>
      </w:r>
      <w:r w:rsidRPr="00CD2F11">
        <w:rPr>
          <w:rFonts w:ascii="Times New Roman" w:hAnsi="Times New Roman" w:cs="Times New Roman"/>
        </w:rPr>
        <w:t xml:space="preserve">. </w:t>
      </w:r>
      <w:r w:rsidR="00BC67E0" w:rsidRPr="00CD2F11">
        <w:rPr>
          <w:rFonts w:ascii="Times New Roman" w:hAnsi="Times New Roman" w:cs="Times New Roman"/>
        </w:rPr>
        <w:t xml:space="preserve">Specifically, </w:t>
      </w:r>
      <w:r w:rsidR="00FB70BB">
        <w:rPr>
          <w:rFonts w:ascii="Times New Roman" w:hAnsi="Times New Roman" w:cs="Times New Roman"/>
        </w:rPr>
        <w:t xml:space="preserve">the </w:t>
      </w:r>
      <w:r w:rsidR="00E64A42">
        <w:rPr>
          <w:rFonts w:ascii="Times New Roman" w:hAnsi="Times New Roman" w:cs="Times New Roman"/>
        </w:rPr>
        <w:t xml:space="preserve">current </w:t>
      </w:r>
      <w:r w:rsidR="00BC67E0" w:rsidRPr="00CD2F11">
        <w:rPr>
          <w:rFonts w:ascii="Times New Roman" w:hAnsi="Times New Roman" w:cs="Times New Roman"/>
        </w:rPr>
        <w:t xml:space="preserve">provisions </w:t>
      </w:r>
      <w:r w:rsidR="005C502A">
        <w:rPr>
          <w:rFonts w:ascii="Times New Roman" w:hAnsi="Times New Roman" w:cs="Times New Roman"/>
        </w:rPr>
        <w:t>in L</w:t>
      </w:r>
      <w:r w:rsidR="005C502A" w:rsidRPr="00CD2F11">
        <w:rPr>
          <w:rFonts w:ascii="Times New Roman" w:hAnsi="Times New Roman" w:cs="Times New Roman"/>
        </w:rPr>
        <w:t xml:space="preserve">aw </w:t>
      </w:r>
      <w:r w:rsidR="005C502A">
        <w:rPr>
          <w:rFonts w:ascii="Times New Roman" w:hAnsi="Times New Roman" w:cs="Times New Roman"/>
        </w:rPr>
        <w:t xml:space="preserve">No. 2/2022 on Job Creation </w:t>
      </w:r>
      <w:r w:rsidR="005C502A" w:rsidRPr="00FF31EB">
        <w:rPr>
          <w:rFonts w:ascii="Times New Roman" w:hAnsi="Times New Roman" w:cs="Times New Roman"/>
        </w:rPr>
        <w:t xml:space="preserve">and Government Regulation </w:t>
      </w:r>
      <w:r w:rsidR="00BC67E0" w:rsidRPr="00CD2F11">
        <w:rPr>
          <w:rFonts w:ascii="Times New Roman" w:hAnsi="Times New Roman" w:cs="Times New Roman"/>
        </w:rPr>
        <w:t xml:space="preserve">related to </w:t>
      </w:r>
      <w:r w:rsidR="00791E48">
        <w:rPr>
          <w:rFonts w:ascii="Times New Roman" w:hAnsi="Times New Roman" w:cs="Times New Roman"/>
        </w:rPr>
        <w:t>childcare, parental leave policies</w:t>
      </w:r>
      <w:r w:rsidR="00BC67E0" w:rsidRPr="00CD2F11">
        <w:rPr>
          <w:rFonts w:ascii="Times New Roman" w:hAnsi="Times New Roman" w:cs="Times New Roman"/>
        </w:rPr>
        <w:t xml:space="preserve">, </w:t>
      </w:r>
      <w:r w:rsidR="00791E48">
        <w:rPr>
          <w:rFonts w:ascii="Times New Roman" w:hAnsi="Times New Roman" w:cs="Times New Roman"/>
        </w:rPr>
        <w:t xml:space="preserve">and </w:t>
      </w:r>
      <w:r w:rsidR="00BC67E0" w:rsidRPr="00CD2F11">
        <w:rPr>
          <w:rFonts w:ascii="Times New Roman" w:hAnsi="Times New Roman" w:cs="Times New Roman"/>
        </w:rPr>
        <w:t>equal pay</w:t>
      </w:r>
      <w:r w:rsidR="00E64A42">
        <w:rPr>
          <w:rFonts w:ascii="Times New Roman" w:hAnsi="Times New Roman" w:cs="Times New Roman"/>
        </w:rPr>
        <w:t xml:space="preserve"> </w:t>
      </w:r>
      <w:r w:rsidR="00BC67E0" w:rsidRPr="00CD2F11">
        <w:rPr>
          <w:rFonts w:ascii="Times New Roman" w:hAnsi="Times New Roman" w:cs="Times New Roman"/>
        </w:rPr>
        <w:t>c</w:t>
      </w:r>
      <w:r w:rsidR="00E64A42">
        <w:rPr>
          <w:rFonts w:ascii="Times New Roman" w:hAnsi="Times New Roman" w:cs="Times New Roman"/>
        </w:rPr>
        <w:t>ould</w:t>
      </w:r>
      <w:r w:rsidR="00BC67E0" w:rsidRPr="00CD2F11">
        <w:rPr>
          <w:rFonts w:ascii="Times New Roman" w:hAnsi="Times New Roman" w:cs="Times New Roman"/>
        </w:rPr>
        <w:t xml:space="preserve"> be re</w:t>
      </w:r>
      <w:r w:rsidR="00E64A42">
        <w:rPr>
          <w:rFonts w:ascii="Times New Roman" w:hAnsi="Times New Roman" w:cs="Times New Roman"/>
        </w:rPr>
        <w:t xml:space="preserve">vised </w:t>
      </w:r>
      <w:r w:rsidR="00BC67E0" w:rsidRPr="00CD2F11">
        <w:rPr>
          <w:rFonts w:ascii="Times New Roman" w:hAnsi="Times New Roman" w:cs="Times New Roman"/>
        </w:rPr>
        <w:t xml:space="preserve">to address gaps. </w:t>
      </w:r>
      <w:r w:rsidR="005C502A">
        <w:rPr>
          <w:rFonts w:ascii="Times New Roman" w:hAnsi="Times New Roman" w:cs="Times New Roman"/>
        </w:rPr>
        <w:t>En</w:t>
      </w:r>
      <w:r w:rsidR="00BC67E0" w:rsidRPr="00CD2F11">
        <w:rPr>
          <w:rFonts w:ascii="Times New Roman" w:hAnsi="Times New Roman" w:cs="Times New Roman"/>
        </w:rPr>
        <w:t>suring adequate support for childcare responsibilities, implementing fair and equitable pay practices, and enhancing transparency in employment practices</w:t>
      </w:r>
      <w:r w:rsidR="00FF31EB" w:rsidRPr="00FF31EB">
        <w:rPr>
          <w:rFonts w:ascii="Times New Roman" w:hAnsi="Times New Roman" w:cs="Times New Roman"/>
        </w:rPr>
        <w:t xml:space="preserve"> </w:t>
      </w:r>
      <w:r w:rsidR="005C502A">
        <w:rPr>
          <w:rFonts w:ascii="Times New Roman" w:hAnsi="Times New Roman" w:cs="Times New Roman"/>
        </w:rPr>
        <w:t>would make the work environment more</w:t>
      </w:r>
      <w:r w:rsidR="00BC67E0" w:rsidRPr="00CD2F11">
        <w:rPr>
          <w:rFonts w:ascii="Times New Roman" w:hAnsi="Times New Roman" w:cs="Times New Roman"/>
        </w:rPr>
        <w:t xml:space="preserve"> inclusive and </w:t>
      </w:r>
      <w:r w:rsidR="005C502A">
        <w:rPr>
          <w:rFonts w:ascii="Times New Roman" w:hAnsi="Times New Roman" w:cs="Times New Roman"/>
        </w:rPr>
        <w:t xml:space="preserve">equitable for women. </w:t>
      </w:r>
    </w:p>
    <w:p w14:paraId="4F1CFE3F" w14:textId="627D09F7" w:rsidR="00A97D38" w:rsidRPr="001E57CE" w:rsidRDefault="00A97D38" w:rsidP="00754F91">
      <w:pPr>
        <w:pStyle w:val="ListParagraph"/>
        <w:numPr>
          <w:ilvl w:val="0"/>
          <w:numId w:val="27"/>
        </w:numPr>
        <w:jc w:val="both"/>
        <w:rPr>
          <w:rFonts w:ascii="Times New Roman" w:hAnsi="Times New Roman" w:cs="Times New Roman"/>
          <w:i/>
          <w:iCs/>
        </w:rPr>
      </w:pPr>
      <w:r w:rsidRPr="001E57CE">
        <w:rPr>
          <w:rFonts w:ascii="Times New Roman" w:hAnsi="Times New Roman" w:cs="Times New Roman"/>
          <w:b/>
          <w:bCs/>
          <w:i/>
          <w:iCs/>
        </w:rPr>
        <w:t>Childcare</w:t>
      </w:r>
      <w:r w:rsidR="00791E48" w:rsidRPr="001E57CE">
        <w:rPr>
          <w:rFonts w:ascii="Times New Roman" w:hAnsi="Times New Roman" w:cs="Times New Roman"/>
          <w:b/>
          <w:bCs/>
          <w:i/>
          <w:iCs/>
        </w:rPr>
        <w:t xml:space="preserve"> and parental leave policies</w:t>
      </w:r>
    </w:p>
    <w:p w14:paraId="03D4A465" w14:textId="2EFED2B6" w:rsidR="00205058" w:rsidRDefault="001851A8" w:rsidP="001851A8">
      <w:pPr>
        <w:jc w:val="both"/>
        <w:rPr>
          <w:rFonts w:ascii="Times New Roman" w:hAnsi="Times New Roman" w:cs="Times New Roman"/>
        </w:rPr>
      </w:pPr>
      <w:r w:rsidRPr="007C033A">
        <w:rPr>
          <w:rFonts w:ascii="Times New Roman" w:hAnsi="Times New Roman" w:cs="Times New Roman"/>
          <w:b/>
          <w:bCs/>
        </w:rPr>
        <w:t>Childcare</w:t>
      </w:r>
      <w:r w:rsidR="00791E48" w:rsidRPr="007C033A">
        <w:rPr>
          <w:rFonts w:ascii="Times New Roman" w:hAnsi="Times New Roman" w:cs="Times New Roman"/>
          <w:b/>
          <w:bCs/>
        </w:rPr>
        <w:t xml:space="preserve"> and parental leave</w:t>
      </w:r>
      <w:r w:rsidRPr="007C033A">
        <w:rPr>
          <w:rFonts w:ascii="Times New Roman" w:hAnsi="Times New Roman" w:cs="Times New Roman"/>
          <w:b/>
          <w:bCs/>
        </w:rPr>
        <w:t xml:space="preserve"> provisions play a crucial role in promoting women's economic inclusion and enhancing their participation in the formal sector</w:t>
      </w:r>
      <w:r w:rsidR="00793038">
        <w:rPr>
          <w:rFonts w:ascii="Times New Roman" w:hAnsi="Times New Roman" w:cs="Times New Roman"/>
          <w:b/>
          <w:bCs/>
        </w:rPr>
        <w:t>,</w:t>
      </w:r>
      <w:r w:rsidRPr="007C033A">
        <w:rPr>
          <w:rFonts w:ascii="Times New Roman" w:hAnsi="Times New Roman" w:cs="Times New Roman"/>
          <w:b/>
          <w:bCs/>
        </w:rPr>
        <w:t xml:space="preserve"> while also recognizing their caregiving responsibilities. </w:t>
      </w:r>
      <w:r w:rsidR="00A61960" w:rsidRPr="00CD2F11">
        <w:rPr>
          <w:rFonts w:ascii="Times New Roman" w:hAnsi="Times New Roman" w:cs="Times New Roman"/>
        </w:rPr>
        <w:t>Unfortunately, the</w:t>
      </w:r>
      <w:r w:rsidRPr="00CD2F11">
        <w:rPr>
          <w:rFonts w:ascii="Times New Roman" w:hAnsi="Times New Roman" w:cs="Times New Roman"/>
        </w:rPr>
        <w:t xml:space="preserve"> existing regulations </w:t>
      </w:r>
      <w:r w:rsidR="00793038">
        <w:rPr>
          <w:rFonts w:ascii="Times New Roman" w:hAnsi="Times New Roman" w:cs="Times New Roman"/>
        </w:rPr>
        <w:t xml:space="preserve">regarding </w:t>
      </w:r>
      <w:r w:rsidRPr="00CD2F11">
        <w:rPr>
          <w:rFonts w:ascii="Times New Roman" w:hAnsi="Times New Roman" w:cs="Times New Roman"/>
        </w:rPr>
        <w:t xml:space="preserve">such an </w:t>
      </w:r>
      <w:r w:rsidR="004F4906">
        <w:rPr>
          <w:rFonts w:ascii="Times New Roman" w:hAnsi="Times New Roman" w:cs="Times New Roman"/>
        </w:rPr>
        <w:t>essential</w:t>
      </w:r>
      <w:r w:rsidR="004F4906" w:rsidRPr="00CD2F11">
        <w:rPr>
          <w:rFonts w:ascii="Times New Roman" w:hAnsi="Times New Roman" w:cs="Times New Roman"/>
        </w:rPr>
        <w:t xml:space="preserve"> </w:t>
      </w:r>
      <w:r w:rsidRPr="00CD2F11">
        <w:rPr>
          <w:rFonts w:ascii="Times New Roman" w:hAnsi="Times New Roman" w:cs="Times New Roman"/>
        </w:rPr>
        <w:t xml:space="preserve">aspect of women’s lives in Indonesia have certain limitations. Under the current regulations, women are entitled to paid maternity leave for a duration of </w:t>
      </w:r>
      <w:r w:rsidR="00791E48">
        <w:rPr>
          <w:rFonts w:ascii="Times New Roman" w:hAnsi="Times New Roman" w:cs="Times New Roman"/>
        </w:rPr>
        <w:t>3</w:t>
      </w:r>
      <w:r w:rsidRPr="00CD2F11">
        <w:rPr>
          <w:rFonts w:ascii="Times New Roman" w:hAnsi="Times New Roman" w:cs="Times New Roman"/>
        </w:rPr>
        <w:t xml:space="preserve"> months</w:t>
      </w:r>
      <w:r w:rsidR="00791E48">
        <w:rPr>
          <w:rFonts w:ascii="Times New Roman" w:hAnsi="Times New Roman" w:cs="Times New Roman"/>
        </w:rPr>
        <w:t xml:space="preserve"> split in half between pre</w:t>
      </w:r>
      <w:r w:rsidR="00793038">
        <w:rPr>
          <w:rFonts w:ascii="Times New Roman" w:hAnsi="Times New Roman" w:cs="Times New Roman"/>
        </w:rPr>
        <w:t>-</w:t>
      </w:r>
      <w:r w:rsidR="00791E48">
        <w:rPr>
          <w:rFonts w:ascii="Times New Roman" w:hAnsi="Times New Roman" w:cs="Times New Roman"/>
        </w:rPr>
        <w:t xml:space="preserve"> and post</w:t>
      </w:r>
      <w:r w:rsidR="00793038">
        <w:rPr>
          <w:rFonts w:ascii="Times New Roman" w:hAnsi="Times New Roman" w:cs="Times New Roman"/>
        </w:rPr>
        <w:t>-</w:t>
      </w:r>
      <w:r w:rsidR="00205058">
        <w:rPr>
          <w:rFonts w:ascii="Times New Roman" w:hAnsi="Times New Roman" w:cs="Times New Roman"/>
        </w:rPr>
        <w:t>birth,</w:t>
      </w:r>
      <w:r w:rsidRPr="00CD2F11">
        <w:rPr>
          <w:rFonts w:ascii="Times New Roman" w:hAnsi="Times New Roman" w:cs="Times New Roman"/>
        </w:rPr>
        <w:t xml:space="preserve"> as stipulated in Articles 82 and 84</w:t>
      </w:r>
      <w:r w:rsidR="00447B20" w:rsidRPr="00CD2F11">
        <w:rPr>
          <w:rFonts w:ascii="Times New Roman" w:hAnsi="Times New Roman" w:cs="Times New Roman"/>
        </w:rPr>
        <w:t xml:space="preserve"> of the Labor Law</w:t>
      </w:r>
      <w:r w:rsidR="004F4906">
        <w:rPr>
          <w:rFonts w:ascii="Times New Roman" w:hAnsi="Times New Roman" w:cs="Times New Roman"/>
        </w:rPr>
        <w:t xml:space="preserve">. </w:t>
      </w:r>
      <w:r w:rsidR="00791E48">
        <w:rPr>
          <w:rFonts w:ascii="Times New Roman" w:hAnsi="Times New Roman" w:cs="Times New Roman"/>
        </w:rPr>
        <w:t xml:space="preserve">This falls slightly below the </w:t>
      </w:r>
      <w:r w:rsidR="00791E48" w:rsidRPr="00791E48">
        <w:rPr>
          <w:rFonts w:ascii="Times New Roman" w:hAnsi="Times New Roman" w:cs="Times New Roman"/>
        </w:rPr>
        <w:t>I</w:t>
      </w:r>
      <w:r w:rsidR="00791E48">
        <w:rPr>
          <w:rFonts w:ascii="Times New Roman" w:hAnsi="Times New Roman" w:cs="Times New Roman"/>
        </w:rPr>
        <w:t xml:space="preserve">nternational </w:t>
      </w:r>
      <w:r w:rsidR="00791E48" w:rsidRPr="00791E48">
        <w:rPr>
          <w:rFonts w:ascii="Times New Roman" w:hAnsi="Times New Roman" w:cs="Times New Roman"/>
        </w:rPr>
        <w:t>L</w:t>
      </w:r>
      <w:r w:rsidR="00791E48">
        <w:rPr>
          <w:rFonts w:ascii="Times New Roman" w:hAnsi="Times New Roman" w:cs="Times New Roman"/>
        </w:rPr>
        <w:t xml:space="preserve">abor Organization’s (ILO) </w:t>
      </w:r>
      <w:r w:rsidR="00791E48" w:rsidRPr="00791E48">
        <w:rPr>
          <w:rFonts w:ascii="Times New Roman" w:hAnsi="Times New Roman" w:cs="Times New Roman"/>
        </w:rPr>
        <w:t>Maternity Protection Convention</w:t>
      </w:r>
      <w:r w:rsidR="00793038">
        <w:rPr>
          <w:rFonts w:ascii="Times New Roman" w:hAnsi="Times New Roman" w:cs="Times New Roman"/>
        </w:rPr>
        <w:t>, which</w:t>
      </w:r>
      <w:r w:rsidR="00791E48" w:rsidRPr="00791E48">
        <w:rPr>
          <w:rFonts w:ascii="Times New Roman" w:hAnsi="Times New Roman" w:cs="Times New Roman"/>
        </w:rPr>
        <w:t xml:space="preserve"> recommends a minimum of 14 weeks (a</w:t>
      </w:r>
      <w:r w:rsidR="00793038">
        <w:rPr>
          <w:rFonts w:ascii="Times New Roman" w:hAnsi="Times New Roman" w:cs="Times New Roman"/>
        </w:rPr>
        <w:t>bout</w:t>
      </w:r>
      <w:r w:rsidR="00791E48" w:rsidRPr="00791E48">
        <w:rPr>
          <w:rFonts w:ascii="Times New Roman" w:hAnsi="Times New Roman" w:cs="Times New Roman"/>
        </w:rPr>
        <w:t xml:space="preserve"> 3.5 months) of maternity leave</w:t>
      </w:r>
      <w:r w:rsidR="00205058" w:rsidRPr="00CD2F11">
        <w:rPr>
          <w:rFonts w:ascii="Times New Roman" w:hAnsi="Times New Roman" w:cs="Times New Roman"/>
        </w:rPr>
        <w:t xml:space="preserve">. </w:t>
      </w:r>
      <w:r w:rsidR="00DE1340">
        <w:rPr>
          <w:rFonts w:ascii="Times New Roman" w:hAnsi="Times New Roman" w:cs="Times New Roman"/>
        </w:rPr>
        <w:t>M</w:t>
      </w:r>
      <w:r w:rsidR="00E31D96" w:rsidRPr="00E31D96">
        <w:rPr>
          <w:rFonts w:ascii="Times New Roman" w:hAnsi="Times New Roman" w:cs="Times New Roman"/>
        </w:rPr>
        <w:t xml:space="preserve">ore importantly, however, </w:t>
      </w:r>
      <w:r w:rsidR="00332C7D">
        <w:rPr>
          <w:rFonts w:ascii="Times New Roman" w:hAnsi="Times New Roman" w:cs="Times New Roman"/>
        </w:rPr>
        <w:t>pro</w:t>
      </w:r>
      <w:r w:rsidR="00205058">
        <w:rPr>
          <w:rFonts w:ascii="Times New Roman" w:hAnsi="Times New Roman" w:cs="Times New Roman"/>
        </w:rPr>
        <w:t>viding</w:t>
      </w:r>
      <w:r w:rsidR="00205058" w:rsidRPr="00CD2F11">
        <w:rPr>
          <w:rFonts w:ascii="Times New Roman" w:hAnsi="Times New Roman" w:cs="Times New Roman"/>
        </w:rPr>
        <w:t xml:space="preserve"> only two days of paternity leave to fathers, as outlined in </w:t>
      </w:r>
      <w:r w:rsidR="00205058" w:rsidRPr="00A97681">
        <w:rPr>
          <w:rFonts w:ascii="Times New Roman" w:hAnsi="Times New Roman" w:cs="Times New Roman"/>
        </w:rPr>
        <w:t>Law No. 13/2003, Art. 93(4)(e)</w:t>
      </w:r>
      <w:r w:rsidR="00205058" w:rsidRPr="00CD2F11">
        <w:rPr>
          <w:rFonts w:ascii="Times New Roman" w:hAnsi="Times New Roman" w:cs="Times New Roman"/>
        </w:rPr>
        <w:t xml:space="preserve">, places an additional burden of unpaid care work on women. This imbalance in parental leave provisions </w:t>
      </w:r>
      <w:r w:rsidR="00205058">
        <w:rPr>
          <w:rFonts w:ascii="Times New Roman" w:hAnsi="Times New Roman" w:cs="Times New Roman"/>
        </w:rPr>
        <w:t xml:space="preserve">contributes to </w:t>
      </w:r>
      <w:r w:rsidR="00205058" w:rsidRPr="00CD2F11">
        <w:rPr>
          <w:rFonts w:ascii="Times New Roman" w:hAnsi="Times New Roman" w:cs="Times New Roman"/>
        </w:rPr>
        <w:t>perpetuat</w:t>
      </w:r>
      <w:r w:rsidR="00205058">
        <w:rPr>
          <w:rFonts w:ascii="Times New Roman" w:hAnsi="Times New Roman" w:cs="Times New Roman"/>
        </w:rPr>
        <w:t>ing</w:t>
      </w:r>
      <w:r w:rsidR="00205058" w:rsidRPr="00CD2F11">
        <w:rPr>
          <w:rFonts w:ascii="Times New Roman" w:hAnsi="Times New Roman" w:cs="Times New Roman"/>
        </w:rPr>
        <w:t xml:space="preserve"> gender disparities and reinforc</w:t>
      </w:r>
      <w:r w:rsidR="00205058">
        <w:rPr>
          <w:rFonts w:ascii="Times New Roman" w:hAnsi="Times New Roman" w:cs="Times New Roman"/>
        </w:rPr>
        <w:t>ing</w:t>
      </w:r>
      <w:r w:rsidR="00205058" w:rsidRPr="00CD2F11">
        <w:rPr>
          <w:rFonts w:ascii="Times New Roman" w:hAnsi="Times New Roman" w:cs="Times New Roman"/>
        </w:rPr>
        <w:t xml:space="preserve"> traditional gender roles. </w:t>
      </w:r>
      <w:r w:rsidR="00024A74">
        <w:rPr>
          <w:rStyle w:val="FootnoteReference"/>
          <w:rFonts w:ascii="Times New Roman" w:hAnsi="Times New Roman" w:cs="Times New Roman"/>
        </w:rPr>
        <w:footnoteReference w:id="4"/>
      </w:r>
    </w:p>
    <w:p w14:paraId="191C0F28" w14:textId="31065A60" w:rsidR="001851A8" w:rsidRPr="00CD2F11" w:rsidRDefault="00791E48" w:rsidP="001851A8">
      <w:pPr>
        <w:jc w:val="both"/>
        <w:rPr>
          <w:rFonts w:ascii="Times New Roman" w:hAnsi="Times New Roman" w:cs="Times New Roman"/>
        </w:rPr>
      </w:pPr>
      <w:r w:rsidRPr="007C033A">
        <w:rPr>
          <w:rFonts w:ascii="Times New Roman" w:hAnsi="Times New Roman" w:cs="Times New Roman"/>
          <w:b/>
          <w:bCs/>
        </w:rPr>
        <w:t>Moreover</w:t>
      </w:r>
      <w:r w:rsidR="004F4906" w:rsidRPr="007C033A">
        <w:rPr>
          <w:rFonts w:ascii="Times New Roman" w:hAnsi="Times New Roman" w:cs="Times New Roman"/>
          <w:b/>
          <w:bCs/>
        </w:rPr>
        <w:t>,</w:t>
      </w:r>
      <w:r w:rsidRPr="007C033A">
        <w:rPr>
          <w:rFonts w:ascii="Times New Roman" w:hAnsi="Times New Roman" w:cs="Times New Roman"/>
          <w:b/>
          <w:bCs/>
        </w:rPr>
        <w:t xml:space="preserve"> Indonesian</w:t>
      </w:r>
      <w:r w:rsidR="004F4906" w:rsidRPr="007C033A">
        <w:rPr>
          <w:rFonts w:ascii="Times New Roman" w:hAnsi="Times New Roman" w:cs="Times New Roman"/>
          <w:b/>
          <w:bCs/>
        </w:rPr>
        <w:t xml:space="preserve"> employees</w:t>
      </w:r>
      <w:r w:rsidR="001851A8" w:rsidRPr="007C033A">
        <w:rPr>
          <w:rFonts w:ascii="Times New Roman" w:hAnsi="Times New Roman" w:cs="Times New Roman"/>
          <w:b/>
          <w:bCs/>
        </w:rPr>
        <w:t xml:space="preserve"> </w:t>
      </w:r>
      <w:r w:rsidR="00421F67" w:rsidRPr="007C033A">
        <w:rPr>
          <w:rFonts w:ascii="Times New Roman" w:hAnsi="Times New Roman" w:cs="Times New Roman"/>
          <w:b/>
          <w:bCs/>
        </w:rPr>
        <w:t>scarcely benefit from</w:t>
      </w:r>
      <w:r w:rsidR="001851A8" w:rsidRPr="007C033A">
        <w:rPr>
          <w:rFonts w:ascii="Times New Roman" w:hAnsi="Times New Roman" w:cs="Times New Roman"/>
          <w:b/>
          <w:bCs/>
        </w:rPr>
        <w:t xml:space="preserve"> childcare support from their employers or the </w:t>
      </w:r>
      <w:r w:rsidR="00793038">
        <w:rPr>
          <w:rFonts w:ascii="Times New Roman" w:hAnsi="Times New Roman" w:cs="Times New Roman"/>
          <w:b/>
          <w:bCs/>
        </w:rPr>
        <w:t>G</w:t>
      </w:r>
      <w:r w:rsidR="001851A8" w:rsidRPr="007C033A">
        <w:rPr>
          <w:rFonts w:ascii="Times New Roman" w:hAnsi="Times New Roman" w:cs="Times New Roman"/>
          <w:b/>
          <w:bCs/>
        </w:rPr>
        <w:t>overnment</w:t>
      </w:r>
      <w:r w:rsidRPr="007C033A">
        <w:rPr>
          <w:rFonts w:ascii="Times New Roman" w:hAnsi="Times New Roman" w:cs="Times New Roman"/>
          <w:b/>
          <w:bCs/>
        </w:rPr>
        <w:t xml:space="preserve"> </w:t>
      </w:r>
      <w:r w:rsidR="00793038">
        <w:rPr>
          <w:rFonts w:ascii="Times New Roman" w:hAnsi="Times New Roman" w:cs="Times New Roman"/>
          <w:b/>
          <w:bCs/>
        </w:rPr>
        <w:t>of Indonesia (</w:t>
      </w:r>
      <w:proofErr w:type="spellStart"/>
      <w:r w:rsidR="00793038">
        <w:rPr>
          <w:rFonts w:ascii="Times New Roman" w:hAnsi="Times New Roman" w:cs="Times New Roman"/>
          <w:b/>
          <w:bCs/>
        </w:rPr>
        <w:t>GoI</w:t>
      </w:r>
      <w:proofErr w:type="spellEnd"/>
      <w:r w:rsidR="00793038">
        <w:rPr>
          <w:rFonts w:ascii="Times New Roman" w:hAnsi="Times New Roman" w:cs="Times New Roman"/>
          <w:b/>
          <w:bCs/>
        </w:rPr>
        <w:t xml:space="preserve">) </w:t>
      </w:r>
      <w:r w:rsidRPr="007C033A">
        <w:rPr>
          <w:rFonts w:ascii="Times New Roman" w:hAnsi="Times New Roman" w:cs="Times New Roman"/>
          <w:b/>
          <w:bCs/>
        </w:rPr>
        <w:t>upon their return to work</w:t>
      </w:r>
      <w:r w:rsidR="001851A8" w:rsidRPr="007C033A">
        <w:rPr>
          <w:rFonts w:ascii="Times New Roman" w:hAnsi="Times New Roman" w:cs="Times New Roman"/>
          <w:b/>
          <w:bCs/>
        </w:rPr>
        <w:t>.</w:t>
      </w:r>
      <w:r w:rsidR="001851A8" w:rsidRPr="00CD2F11">
        <w:rPr>
          <w:rFonts w:ascii="Times New Roman" w:hAnsi="Times New Roman" w:cs="Times New Roman"/>
        </w:rPr>
        <w:t xml:space="preserve"> </w:t>
      </w:r>
      <w:r w:rsidR="00732B15">
        <w:rPr>
          <w:rFonts w:ascii="Times New Roman" w:hAnsi="Times New Roman" w:cs="Times New Roman"/>
        </w:rPr>
        <w:t>Th</w:t>
      </w:r>
      <w:r w:rsidR="00732B15" w:rsidRPr="00CD2F11">
        <w:rPr>
          <w:rFonts w:ascii="Times New Roman" w:hAnsi="Times New Roman" w:cs="Times New Roman"/>
        </w:rPr>
        <w:t xml:space="preserve">e private sector does not receive </w:t>
      </w:r>
      <w:r w:rsidR="00732B15">
        <w:rPr>
          <w:rFonts w:ascii="Times New Roman" w:hAnsi="Times New Roman" w:cs="Times New Roman"/>
        </w:rPr>
        <w:t>systematic</w:t>
      </w:r>
      <w:r w:rsidR="00732B15" w:rsidRPr="00CD2F11">
        <w:rPr>
          <w:rFonts w:ascii="Times New Roman" w:hAnsi="Times New Roman" w:cs="Times New Roman"/>
        </w:rPr>
        <w:t xml:space="preserve"> financial or non-financial support to establish childcare facilities</w:t>
      </w:r>
      <w:r w:rsidR="00732B15">
        <w:rPr>
          <w:rFonts w:ascii="Times New Roman" w:hAnsi="Times New Roman" w:cs="Times New Roman"/>
        </w:rPr>
        <w:t xml:space="preserve">. </w:t>
      </w:r>
      <w:r w:rsidR="001851A8" w:rsidRPr="00CD2F11">
        <w:rPr>
          <w:rFonts w:ascii="Times New Roman" w:hAnsi="Times New Roman" w:cs="Times New Roman"/>
        </w:rPr>
        <w:t xml:space="preserve">This </w:t>
      </w:r>
      <w:r w:rsidR="00732B15">
        <w:rPr>
          <w:rFonts w:ascii="Times New Roman" w:hAnsi="Times New Roman" w:cs="Times New Roman"/>
        </w:rPr>
        <w:t>means that</w:t>
      </w:r>
      <w:r w:rsidR="00FB70BB">
        <w:rPr>
          <w:rFonts w:ascii="Times New Roman" w:hAnsi="Times New Roman" w:cs="Times New Roman"/>
        </w:rPr>
        <w:t>,</w:t>
      </w:r>
      <w:r w:rsidR="00732B15">
        <w:rPr>
          <w:rFonts w:ascii="Times New Roman" w:hAnsi="Times New Roman" w:cs="Times New Roman"/>
        </w:rPr>
        <w:t xml:space="preserve"> </w:t>
      </w:r>
      <w:r w:rsidR="00E6276B">
        <w:rPr>
          <w:rFonts w:ascii="Times New Roman" w:hAnsi="Times New Roman" w:cs="Times New Roman"/>
        </w:rPr>
        <w:t>in</w:t>
      </w:r>
      <w:r w:rsidR="00E6276B" w:rsidRPr="00CD2F11">
        <w:rPr>
          <w:rFonts w:ascii="Times New Roman" w:hAnsi="Times New Roman" w:cs="Times New Roman"/>
        </w:rPr>
        <w:t xml:space="preserve"> </w:t>
      </w:r>
      <w:r w:rsidR="00E6276B">
        <w:rPr>
          <w:rFonts w:ascii="Times New Roman" w:hAnsi="Times New Roman" w:cs="Times New Roman"/>
        </w:rPr>
        <w:t>financially constrained</w:t>
      </w:r>
      <w:r w:rsidR="00E6276B" w:rsidRPr="00CD2F11">
        <w:rPr>
          <w:rFonts w:ascii="Times New Roman" w:hAnsi="Times New Roman" w:cs="Times New Roman"/>
        </w:rPr>
        <w:t xml:space="preserve"> </w:t>
      </w:r>
      <w:r w:rsidR="00332C7D">
        <w:rPr>
          <w:rFonts w:ascii="Times New Roman" w:hAnsi="Times New Roman" w:cs="Times New Roman"/>
        </w:rPr>
        <w:t>MS</w:t>
      </w:r>
      <w:r w:rsidR="001851A8" w:rsidRPr="00CD2F11">
        <w:rPr>
          <w:rFonts w:ascii="Times New Roman" w:hAnsi="Times New Roman" w:cs="Times New Roman"/>
        </w:rPr>
        <w:t>MEs</w:t>
      </w:r>
      <w:r w:rsidR="00FB70BB">
        <w:rPr>
          <w:rFonts w:ascii="Times New Roman" w:hAnsi="Times New Roman" w:cs="Times New Roman"/>
        </w:rPr>
        <w:t>,</w:t>
      </w:r>
      <w:r w:rsidR="001851A8" w:rsidRPr="00CD2F11">
        <w:rPr>
          <w:rFonts w:ascii="Times New Roman" w:hAnsi="Times New Roman" w:cs="Times New Roman"/>
        </w:rPr>
        <w:t xml:space="preserve"> female employees</w:t>
      </w:r>
      <w:r w:rsidR="00E6276B">
        <w:rPr>
          <w:rFonts w:ascii="Times New Roman" w:hAnsi="Times New Roman" w:cs="Times New Roman"/>
        </w:rPr>
        <w:t xml:space="preserve"> </w:t>
      </w:r>
      <w:r w:rsidR="00732B15">
        <w:rPr>
          <w:rFonts w:ascii="Times New Roman" w:hAnsi="Times New Roman" w:cs="Times New Roman"/>
        </w:rPr>
        <w:t xml:space="preserve">face specific challenges </w:t>
      </w:r>
      <w:r w:rsidR="001851A8" w:rsidRPr="00CD2F11">
        <w:rPr>
          <w:rFonts w:ascii="Times New Roman" w:hAnsi="Times New Roman" w:cs="Times New Roman"/>
        </w:rPr>
        <w:t xml:space="preserve">in accessing </w:t>
      </w:r>
      <w:r w:rsidR="00732B15">
        <w:rPr>
          <w:rFonts w:ascii="Times New Roman" w:hAnsi="Times New Roman" w:cs="Times New Roman"/>
        </w:rPr>
        <w:t xml:space="preserve">childcare </w:t>
      </w:r>
      <w:r w:rsidR="001851A8" w:rsidRPr="00CD2F11">
        <w:rPr>
          <w:rFonts w:ascii="Times New Roman" w:hAnsi="Times New Roman" w:cs="Times New Roman"/>
        </w:rPr>
        <w:t>facilities and resources</w:t>
      </w:r>
      <w:r w:rsidR="00732B15">
        <w:rPr>
          <w:rFonts w:ascii="Times New Roman" w:hAnsi="Times New Roman" w:cs="Times New Roman"/>
        </w:rPr>
        <w:t xml:space="preserve"> when they return to work</w:t>
      </w:r>
      <w:r w:rsidR="002132D0">
        <w:rPr>
          <w:rFonts w:ascii="Times New Roman" w:hAnsi="Times New Roman" w:cs="Times New Roman"/>
        </w:rPr>
        <w:t xml:space="preserve"> after maternity leave</w:t>
      </w:r>
      <w:r w:rsidR="001851A8" w:rsidRPr="00CD2F11">
        <w:rPr>
          <w:rFonts w:ascii="Times New Roman" w:hAnsi="Times New Roman" w:cs="Times New Roman"/>
        </w:rPr>
        <w:t xml:space="preserve">. </w:t>
      </w:r>
      <w:r w:rsidR="006E192F">
        <w:rPr>
          <w:rFonts w:ascii="Times New Roman" w:hAnsi="Times New Roman" w:cs="Times New Roman"/>
        </w:rPr>
        <w:t>.</w:t>
      </w:r>
      <w:r w:rsidR="00610809" w:rsidRPr="00CD2F11">
        <w:rPr>
          <w:rFonts w:ascii="Times New Roman" w:hAnsi="Times New Roman" w:cs="Times New Roman"/>
        </w:rPr>
        <w:t xml:space="preserve"> </w:t>
      </w:r>
      <w:r w:rsidR="001851A8" w:rsidRPr="00CD2F11">
        <w:rPr>
          <w:rFonts w:ascii="Times New Roman" w:hAnsi="Times New Roman" w:cs="Times New Roman"/>
        </w:rPr>
        <w:t xml:space="preserve">To address these issues, </w:t>
      </w:r>
      <w:r w:rsidR="00CA2C5F" w:rsidRPr="00CD2F11">
        <w:rPr>
          <w:rFonts w:ascii="Times New Roman" w:hAnsi="Times New Roman" w:cs="Times New Roman"/>
        </w:rPr>
        <w:t xml:space="preserve">Law No. 23/2002 on Child Protection </w:t>
      </w:r>
      <w:r w:rsidR="00332C7D">
        <w:rPr>
          <w:rFonts w:ascii="Times New Roman" w:hAnsi="Times New Roman" w:cs="Times New Roman"/>
        </w:rPr>
        <w:t>reg</w:t>
      </w:r>
      <w:r w:rsidR="00793073">
        <w:rPr>
          <w:rFonts w:ascii="Times New Roman" w:hAnsi="Times New Roman" w:cs="Times New Roman"/>
        </w:rPr>
        <w:t>ar</w:t>
      </w:r>
      <w:r w:rsidR="00332C7D">
        <w:rPr>
          <w:rFonts w:ascii="Times New Roman" w:hAnsi="Times New Roman" w:cs="Times New Roman"/>
        </w:rPr>
        <w:t xml:space="preserve">ding </w:t>
      </w:r>
      <w:r w:rsidR="001851A8" w:rsidRPr="00CD2F11">
        <w:rPr>
          <w:rFonts w:ascii="Times New Roman" w:hAnsi="Times New Roman" w:cs="Times New Roman"/>
        </w:rPr>
        <w:t>childcare</w:t>
      </w:r>
      <w:r w:rsidR="00CA2C5F" w:rsidRPr="00CD2F11">
        <w:rPr>
          <w:rFonts w:ascii="Times New Roman" w:hAnsi="Times New Roman" w:cs="Times New Roman"/>
        </w:rPr>
        <w:t xml:space="preserve"> </w:t>
      </w:r>
      <w:r w:rsidR="006E192F">
        <w:rPr>
          <w:rFonts w:ascii="Times New Roman" w:hAnsi="Times New Roman" w:cs="Times New Roman"/>
        </w:rPr>
        <w:t xml:space="preserve">could be revised. </w:t>
      </w:r>
      <w:r w:rsidR="001851A8" w:rsidRPr="00CD2F11">
        <w:rPr>
          <w:rFonts w:ascii="Times New Roman" w:hAnsi="Times New Roman" w:cs="Times New Roman"/>
        </w:rPr>
        <w:t>Th</w:t>
      </w:r>
      <w:r w:rsidR="006E192F">
        <w:rPr>
          <w:rFonts w:ascii="Times New Roman" w:hAnsi="Times New Roman" w:cs="Times New Roman"/>
        </w:rPr>
        <w:t>ese</w:t>
      </w:r>
      <w:r w:rsidR="001851A8" w:rsidRPr="00CD2F11">
        <w:rPr>
          <w:rFonts w:ascii="Times New Roman" w:hAnsi="Times New Roman" w:cs="Times New Roman"/>
        </w:rPr>
        <w:t xml:space="preserve"> </w:t>
      </w:r>
      <w:r w:rsidR="006E192F">
        <w:rPr>
          <w:rFonts w:ascii="Times New Roman" w:hAnsi="Times New Roman" w:cs="Times New Roman"/>
        </w:rPr>
        <w:t xml:space="preserve">revisions </w:t>
      </w:r>
      <w:r w:rsidR="000B486C">
        <w:rPr>
          <w:rFonts w:ascii="Times New Roman" w:hAnsi="Times New Roman" w:cs="Times New Roman"/>
        </w:rPr>
        <w:t>c</w:t>
      </w:r>
      <w:r w:rsidR="006E192F">
        <w:rPr>
          <w:rFonts w:ascii="Times New Roman" w:hAnsi="Times New Roman" w:cs="Times New Roman"/>
        </w:rPr>
        <w:t xml:space="preserve">ould </w:t>
      </w:r>
      <w:r w:rsidR="001851A8" w:rsidRPr="00CD2F11">
        <w:rPr>
          <w:rFonts w:ascii="Times New Roman" w:hAnsi="Times New Roman" w:cs="Times New Roman"/>
        </w:rPr>
        <w:t xml:space="preserve">include providing financial and non-financial support to the private sector for </w:t>
      </w:r>
      <w:r w:rsidR="004F4906">
        <w:rPr>
          <w:rFonts w:ascii="Times New Roman" w:hAnsi="Times New Roman" w:cs="Times New Roman"/>
        </w:rPr>
        <w:t>establishing</w:t>
      </w:r>
      <w:r w:rsidR="001851A8" w:rsidRPr="00CD2F11">
        <w:rPr>
          <w:rFonts w:ascii="Times New Roman" w:hAnsi="Times New Roman" w:cs="Times New Roman"/>
        </w:rPr>
        <w:t xml:space="preserve"> childcare facilities, ensuring equal access to childcare services for all employees, and extending paternity leave to promote shared caregiving responsibilities.</w:t>
      </w:r>
    </w:p>
    <w:p w14:paraId="4D56B463" w14:textId="5BC5D9F5" w:rsidR="00F6277E" w:rsidRPr="00024A74" w:rsidRDefault="00A97D38" w:rsidP="00754F91">
      <w:pPr>
        <w:pStyle w:val="ListParagraph"/>
        <w:numPr>
          <w:ilvl w:val="0"/>
          <w:numId w:val="27"/>
        </w:numPr>
        <w:jc w:val="both"/>
        <w:rPr>
          <w:rFonts w:ascii="Times New Roman" w:hAnsi="Times New Roman" w:cs="Times New Roman"/>
          <w:i/>
          <w:iCs/>
        </w:rPr>
      </w:pPr>
      <w:r w:rsidRPr="00024A74">
        <w:rPr>
          <w:rFonts w:ascii="Times New Roman" w:hAnsi="Times New Roman" w:cs="Times New Roman"/>
          <w:b/>
          <w:bCs/>
          <w:i/>
          <w:iCs/>
        </w:rPr>
        <w:t>Equal pay</w:t>
      </w:r>
      <w:r w:rsidRPr="00024A74">
        <w:rPr>
          <w:rFonts w:ascii="Times New Roman" w:hAnsi="Times New Roman" w:cs="Times New Roman"/>
          <w:i/>
          <w:iCs/>
        </w:rPr>
        <w:t xml:space="preserve"> </w:t>
      </w:r>
    </w:p>
    <w:p w14:paraId="103E52DE" w14:textId="132C2263" w:rsidR="00A97D38" w:rsidRDefault="00AE3897" w:rsidP="004E045B">
      <w:pPr>
        <w:jc w:val="both"/>
        <w:rPr>
          <w:rFonts w:ascii="Times New Roman" w:hAnsi="Times New Roman" w:cs="Times New Roman"/>
        </w:rPr>
      </w:pPr>
      <w:r w:rsidRPr="00CD2F11">
        <w:rPr>
          <w:rFonts w:ascii="Times New Roman" w:hAnsi="Times New Roman" w:cs="Times New Roman"/>
        </w:rPr>
        <w:t>T</w:t>
      </w:r>
      <w:r w:rsidR="008E105D" w:rsidRPr="00CD2F11">
        <w:rPr>
          <w:rFonts w:ascii="Times New Roman" w:hAnsi="Times New Roman" w:cs="Times New Roman"/>
        </w:rPr>
        <w:t>he</w:t>
      </w:r>
      <w:r w:rsidR="00230394" w:rsidRPr="00CD2F11">
        <w:rPr>
          <w:rFonts w:ascii="Times New Roman" w:hAnsi="Times New Roman" w:cs="Times New Roman"/>
        </w:rPr>
        <w:t xml:space="preserve"> issue of equal pay is more relevant </w:t>
      </w:r>
      <w:r w:rsidR="004F4906">
        <w:rPr>
          <w:rFonts w:ascii="Times New Roman" w:hAnsi="Times New Roman" w:cs="Times New Roman"/>
        </w:rPr>
        <w:t>to</w:t>
      </w:r>
      <w:r w:rsidR="004F4906" w:rsidRPr="00CD2F11">
        <w:rPr>
          <w:rFonts w:ascii="Times New Roman" w:hAnsi="Times New Roman" w:cs="Times New Roman"/>
        </w:rPr>
        <w:t xml:space="preserve"> </w:t>
      </w:r>
      <w:r w:rsidR="006C4D74" w:rsidRPr="00CD2F11">
        <w:rPr>
          <w:rFonts w:ascii="Times New Roman" w:hAnsi="Times New Roman" w:cs="Times New Roman"/>
        </w:rPr>
        <w:t>female</w:t>
      </w:r>
      <w:r w:rsidR="00230394" w:rsidRPr="00CD2F11">
        <w:rPr>
          <w:rFonts w:ascii="Times New Roman" w:hAnsi="Times New Roman" w:cs="Times New Roman"/>
        </w:rPr>
        <w:t xml:space="preserve"> employees</w:t>
      </w:r>
      <w:r w:rsidR="006C4D74" w:rsidRPr="00CD2F11">
        <w:rPr>
          <w:rFonts w:ascii="Times New Roman" w:hAnsi="Times New Roman" w:cs="Times New Roman"/>
        </w:rPr>
        <w:t xml:space="preserve">’ income </w:t>
      </w:r>
      <w:r w:rsidR="00230394" w:rsidRPr="00CD2F11">
        <w:rPr>
          <w:rFonts w:ascii="Times New Roman" w:hAnsi="Times New Roman" w:cs="Times New Roman"/>
        </w:rPr>
        <w:t>than</w:t>
      </w:r>
      <w:r w:rsidR="006C4D74" w:rsidRPr="00CD2F11">
        <w:rPr>
          <w:rFonts w:ascii="Times New Roman" w:hAnsi="Times New Roman" w:cs="Times New Roman"/>
        </w:rPr>
        <w:t xml:space="preserve"> female</w:t>
      </w:r>
      <w:r w:rsidR="00230394" w:rsidRPr="00CD2F11">
        <w:rPr>
          <w:rFonts w:ascii="Times New Roman" w:hAnsi="Times New Roman" w:cs="Times New Roman"/>
        </w:rPr>
        <w:t xml:space="preserve"> business owners. </w:t>
      </w:r>
      <w:r w:rsidR="006C4D74" w:rsidRPr="00CD2F11">
        <w:rPr>
          <w:rFonts w:ascii="Times New Roman" w:hAnsi="Times New Roman" w:cs="Times New Roman"/>
        </w:rPr>
        <w:t xml:space="preserve">The </w:t>
      </w:r>
      <w:r w:rsidR="008E105D" w:rsidRPr="00CD2F11">
        <w:rPr>
          <w:rFonts w:ascii="Times New Roman" w:hAnsi="Times New Roman" w:cs="Times New Roman"/>
        </w:rPr>
        <w:t xml:space="preserve">current Labor Law in Indonesia does not include provisions mandating equal pay for equal value of work between genders. </w:t>
      </w:r>
      <w:r w:rsidR="005D4B1C">
        <w:rPr>
          <w:rFonts w:ascii="Times New Roman" w:hAnsi="Times New Roman" w:cs="Times New Roman"/>
        </w:rPr>
        <w:t>In a</w:t>
      </w:r>
      <w:r w:rsidR="008E105D" w:rsidRPr="00CD2F11">
        <w:rPr>
          <w:rFonts w:ascii="Times New Roman" w:hAnsi="Times New Roman" w:cs="Times New Roman"/>
        </w:rPr>
        <w:t xml:space="preserve">ddition, there are no specific measures outlined in the law to address wage transparency </w:t>
      </w:r>
      <w:r w:rsidR="00793073">
        <w:rPr>
          <w:rFonts w:ascii="Times New Roman" w:hAnsi="Times New Roman" w:cs="Times New Roman"/>
        </w:rPr>
        <w:t>or</w:t>
      </w:r>
      <w:r w:rsidR="008E105D" w:rsidRPr="00CD2F11">
        <w:rPr>
          <w:rFonts w:ascii="Times New Roman" w:hAnsi="Times New Roman" w:cs="Times New Roman"/>
        </w:rPr>
        <w:t xml:space="preserve"> bridge the existing pay gaps. </w:t>
      </w:r>
      <w:r w:rsidR="00E16224" w:rsidRPr="00CD2F11">
        <w:rPr>
          <w:rFonts w:ascii="Times New Roman" w:hAnsi="Times New Roman" w:cs="Times New Roman"/>
        </w:rPr>
        <w:t xml:space="preserve">This places a </w:t>
      </w:r>
      <w:r w:rsidR="00C36E68">
        <w:rPr>
          <w:rFonts w:ascii="Times New Roman" w:hAnsi="Times New Roman" w:cs="Times New Roman"/>
        </w:rPr>
        <w:t>comparatively</w:t>
      </w:r>
      <w:r w:rsidR="00C36E68" w:rsidRPr="00CD2F11">
        <w:rPr>
          <w:rFonts w:ascii="Times New Roman" w:hAnsi="Times New Roman" w:cs="Times New Roman"/>
        </w:rPr>
        <w:t xml:space="preserve"> </w:t>
      </w:r>
      <w:r w:rsidR="00E16224" w:rsidRPr="00CD2F11">
        <w:rPr>
          <w:rFonts w:ascii="Times New Roman" w:hAnsi="Times New Roman" w:cs="Times New Roman"/>
        </w:rPr>
        <w:t xml:space="preserve">higher financial burden on women when </w:t>
      </w:r>
      <w:r w:rsidR="00DC2939" w:rsidRPr="00CD2F11">
        <w:rPr>
          <w:rFonts w:ascii="Times New Roman" w:hAnsi="Times New Roman" w:cs="Times New Roman"/>
        </w:rPr>
        <w:t xml:space="preserve">they face childcare expenses. </w:t>
      </w:r>
      <w:r w:rsidR="008E105D" w:rsidRPr="00CD2F11">
        <w:rPr>
          <w:rFonts w:ascii="Times New Roman" w:hAnsi="Times New Roman" w:cs="Times New Roman"/>
        </w:rPr>
        <w:t>It is worth highlighting that the issue</w:t>
      </w:r>
      <w:r w:rsidR="00057942">
        <w:rPr>
          <w:rFonts w:ascii="Times New Roman" w:hAnsi="Times New Roman" w:cs="Times New Roman"/>
        </w:rPr>
        <w:t>s</w:t>
      </w:r>
      <w:r w:rsidR="008E105D" w:rsidRPr="00CD2F11">
        <w:rPr>
          <w:rFonts w:ascii="Times New Roman" w:hAnsi="Times New Roman" w:cs="Times New Roman"/>
        </w:rPr>
        <w:t xml:space="preserve"> of equal pay and wage transparency </w:t>
      </w:r>
      <w:r w:rsidR="00793073">
        <w:rPr>
          <w:rFonts w:ascii="Times New Roman" w:hAnsi="Times New Roman" w:cs="Times New Roman"/>
        </w:rPr>
        <w:t>are</w:t>
      </w:r>
      <w:r w:rsidR="008E105D" w:rsidRPr="00CD2F11">
        <w:rPr>
          <w:rFonts w:ascii="Times New Roman" w:hAnsi="Times New Roman" w:cs="Times New Roman"/>
        </w:rPr>
        <w:t xml:space="preserve"> addressed in the ILO</w:t>
      </w:r>
      <w:r w:rsidR="005D4B1C">
        <w:rPr>
          <w:rFonts w:ascii="Times New Roman" w:hAnsi="Times New Roman" w:cs="Times New Roman"/>
        </w:rPr>
        <w:t>’s</w:t>
      </w:r>
      <w:r w:rsidR="008E105D" w:rsidRPr="00CD2F11">
        <w:rPr>
          <w:rFonts w:ascii="Times New Roman" w:hAnsi="Times New Roman" w:cs="Times New Roman"/>
        </w:rPr>
        <w:t xml:space="preserve"> Equal Remuneration Convention for 1951 (No. 100). This </w:t>
      </w:r>
      <w:r w:rsidR="008E105D" w:rsidRPr="00CD2F11">
        <w:rPr>
          <w:rFonts w:ascii="Times New Roman" w:hAnsi="Times New Roman" w:cs="Times New Roman"/>
        </w:rPr>
        <w:lastRenderedPageBreak/>
        <w:t>convention emphasizes the principle of equal remuneration for men and women workers for work of equal value</w:t>
      </w:r>
      <w:r w:rsidR="005D4B1C">
        <w:rPr>
          <w:rFonts w:ascii="Times New Roman" w:hAnsi="Times New Roman" w:cs="Times New Roman"/>
        </w:rPr>
        <w:t>,</w:t>
      </w:r>
      <w:r w:rsidR="00A23650" w:rsidRPr="00CD2F11">
        <w:rPr>
          <w:rFonts w:ascii="Times New Roman" w:hAnsi="Times New Roman" w:cs="Times New Roman"/>
        </w:rPr>
        <w:t xml:space="preserve"> </w:t>
      </w:r>
      <w:r w:rsidR="008E105D" w:rsidRPr="00CD2F11">
        <w:rPr>
          <w:rFonts w:ascii="Times New Roman" w:hAnsi="Times New Roman" w:cs="Times New Roman"/>
        </w:rPr>
        <w:t xml:space="preserve">and encourages member countries to take necessary measures to ensure its implementation. </w:t>
      </w:r>
      <w:r w:rsidR="00513A6B" w:rsidRPr="00CD2F11">
        <w:rPr>
          <w:rFonts w:ascii="Times New Roman" w:hAnsi="Times New Roman" w:cs="Times New Roman"/>
        </w:rPr>
        <w:t xml:space="preserve"> </w:t>
      </w:r>
    </w:p>
    <w:p w14:paraId="0B333731" w14:textId="4C972FBF" w:rsidR="00E5678A" w:rsidRPr="00C73CF8" w:rsidRDefault="001144F5" w:rsidP="007C033A">
      <w:pPr>
        <w:pStyle w:val="ListParagraph"/>
        <w:numPr>
          <w:ilvl w:val="0"/>
          <w:numId w:val="27"/>
        </w:numPr>
        <w:jc w:val="both"/>
        <w:rPr>
          <w:rStyle w:val="normaltextrun"/>
          <w:rFonts w:ascii="Times New Roman" w:hAnsi="Times New Roman" w:cs="Times New Roman"/>
          <w:b/>
          <w:bCs/>
          <w:i/>
          <w:iCs/>
        </w:rPr>
      </w:pPr>
      <w:r w:rsidRPr="00C73CF8">
        <w:rPr>
          <w:rFonts w:ascii="Times New Roman" w:hAnsi="Times New Roman" w:cs="Times New Roman"/>
          <w:b/>
          <w:bCs/>
          <w:i/>
          <w:iCs/>
        </w:rPr>
        <w:t>Additional regulatory constraints</w:t>
      </w:r>
      <w:r w:rsidR="00E5678A" w:rsidRPr="00C73CF8">
        <w:rPr>
          <w:rFonts w:ascii="Times New Roman" w:hAnsi="Times New Roman" w:cs="Times New Roman"/>
          <w:b/>
          <w:bCs/>
          <w:i/>
          <w:iCs/>
        </w:rPr>
        <w:t xml:space="preserve"> </w:t>
      </w:r>
      <w:r w:rsidR="00EB4C31" w:rsidRPr="00C73CF8">
        <w:rPr>
          <w:rFonts w:ascii="Times New Roman" w:hAnsi="Times New Roman" w:cs="Times New Roman"/>
          <w:b/>
          <w:bCs/>
          <w:i/>
          <w:iCs/>
        </w:rPr>
        <w:t>related to</w:t>
      </w:r>
      <w:r w:rsidR="00E5678A" w:rsidRPr="00C73CF8">
        <w:rPr>
          <w:rFonts w:ascii="Times New Roman" w:hAnsi="Times New Roman" w:cs="Times New Roman"/>
          <w:b/>
          <w:bCs/>
          <w:i/>
          <w:iCs/>
        </w:rPr>
        <w:t xml:space="preserve"> </w:t>
      </w:r>
      <w:r w:rsidR="00E5678A" w:rsidRPr="00C73CF8">
        <w:rPr>
          <w:rStyle w:val="normaltextrun"/>
          <w:rFonts w:ascii="Times New Roman" w:hAnsi="Times New Roman" w:cs="Times New Roman"/>
          <w:b/>
          <w:bCs/>
          <w:i/>
          <w:iCs/>
        </w:rPr>
        <w:t>obligations imposed on employers</w:t>
      </w:r>
      <w:r w:rsidR="00E5678A" w:rsidRPr="00C73CF8">
        <w:rPr>
          <w:rStyle w:val="normaltextrun"/>
          <w:b/>
          <w:bCs/>
          <w:i/>
          <w:iCs/>
        </w:rPr>
        <w:t xml:space="preserve"> </w:t>
      </w:r>
    </w:p>
    <w:p w14:paraId="46D9151D" w14:textId="0C4113A1" w:rsidR="00E5678A" w:rsidRPr="00CD2F11" w:rsidRDefault="00E5678A" w:rsidP="00E509EC">
      <w:pPr>
        <w:pStyle w:val="paragraph"/>
        <w:spacing w:before="0" w:beforeAutospacing="0" w:after="0" w:afterAutospacing="0"/>
        <w:jc w:val="both"/>
        <w:textAlignment w:val="baseline"/>
        <w:rPr>
          <w:rStyle w:val="normaltextrun"/>
          <w:sz w:val="22"/>
          <w:szCs w:val="22"/>
        </w:rPr>
      </w:pPr>
      <w:r w:rsidRPr="00CD2F11">
        <w:rPr>
          <w:rStyle w:val="normaltextrun"/>
          <w:sz w:val="22"/>
          <w:szCs w:val="22"/>
        </w:rPr>
        <w:t>The following articles</w:t>
      </w:r>
      <w:r>
        <w:rPr>
          <w:rStyle w:val="normaltextrun"/>
          <w:sz w:val="22"/>
          <w:szCs w:val="22"/>
        </w:rPr>
        <w:t xml:space="preserve">, which aim to protect female workers, may paradoxically increase discrimination against women employees, and affect employers’ decisions </w:t>
      </w:r>
      <w:r w:rsidR="005D4B1C">
        <w:rPr>
          <w:rStyle w:val="normaltextrun"/>
          <w:sz w:val="22"/>
          <w:szCs w:val="22"/>
        </w:rPr>
        <w:t>on</w:t>
      </w:r>
      <w:r>
        <w:rPr>
          <w:rStyle w:val="normaltextrun"/>
          <w:sz w:val="22"/>
          <w:szCs w:val="22"/>
        </w:rPr>
        <w:t xml:space="preserve"> hir</w:t>
      </w:r>
      <w:r w:rsidR="005D4B1C">
        <w:rPr>
          <w:rStyle w:val="normaltextrun"/>
          <w:sz w:val="22"/>
          <w:szCs w:val="22"/>
        </w:rPr>
        <w:t>ing</w:t>
      </w:r>
      <w:r>
        <w:rPr>
          <w:rStyle w:val="normaltextrun"/>
          <w:sz w:val="22"/>
          <w:szCs w:val="22"/>
        </w:rPr>
        <w:t xml:space="preserve"> women or pay</w:t>
      </w:r>
      <w:r w:rsidR="005D4B1C">
        <w:rPr>
          <w:rStyle w:val="normaltextrun"/>
          <w:sz w:val="22"/>
          <w:szCs w:val="22"/>
        </w:rPr>
        <w:t>ing</w:t>
      </w:r>
      <w:r>
        <w:rPr>
          <w:rStyle w:val="normaltextrun"/>
          <w:sz w:val="22"/>
          <w:szCs w:val="22"/>
        </w:rPr>
        <w:t xml:space="preserve"> them equally to men</w:t>
      </w:r>
      <w:r w:rsidRPr="00CD2F11">
        <w:rPr>
          <w:rStyle w:val="normaltextrun"/>
          <w:sz w:val="22"/>
          <w:szCs w:val="22"/>
        </w:rPr>
        <w:t xml:space="preserve">. </w:t>
      </w:r>
      <w:r w:rsidR="00960638">
        <w:rPr>
          <w:rStyle w:val="normaltextrun"/>
          <w:sz w:val="22"/>
          <w:szCs w:val="22"/>
        </w:rPr>
        <w:t xml:space="preserve">They </w:t>
      </w:r>
      <w:r w:rsidR="00FB70BB">
        <w:rPr>
          <w:rStyle w:val="normaltextrun"/>
          <w:sz w:val="22"/>
          <w:szCs w:val="22"/>
        </w:rPr>
        <w:t xml:space="preserve">can </w:t>
      </w:r>
      <w:r w:rsidR="00793073">
        <w:rPr>
          <w:rStyle w:val="normaltextrun"/>
          <w:sz w:val="22"/>
          <w:szCs w:val="22"/>
        </w:rPr>
        <w:t xml:space="preserve">give rise to </w:t>
      </w:r>
      <w:r w:rsidR="00960638">
        <w:rPr>
          <w:rStyle w:val="normaltextrun"/>
          <w:sz w:val="22"/>
          <w:szCs w:val="22"/>
        </w:rPr>
        <w:t xml:space="preserve">a perception of female labor </w:t>
      </w:r>
      <w:r w:rsidR="005D4B1C">
        <w:rPr>
          <w:rStyle w:val="normaltextrun"/>
          <w:sz w:val="22"/>
          <w:szCs w:val="22"/>
        </w:rPr>
        <w:t xml:space="preserve">being </w:t>
      </w:r>
      <w:r w:rsidR="00960638">
        <w:rPr>
          <w:rStyle w:val="normaltextrun"/>
          <w:sz w:val="22"/>
          <w:szCs w:val="22"/>
        </w:rPr>
        <w:t xml:space="preserve">more expensive and less flexible. </w:t>
      </w:r>
    </w:p>
    <w:p w14:paraId="110BC9DD" w14:textId="77777777" w:rsidR="00E5678A" w:rsidRPr="00CD2F11" w:rsidRDefault="00E5678A" w:rsidP="00E5678A">
      <w:pPr>
        <w:pStyle w:val="paragraph"/>
        <w:spacing w:before="0" w:beforeAutospacing="0" w:after="0" w:afterAutospacing="0"/>
        <w:jc w:val="both"/>
        <w:textAlignment w:val="baseline"/>
        <w:rPr>
          <w:rStyle w:val="normaltextrun"/>
          <w:sz w:val="22"/>
          <w:szCs w:val="22"/>
        </w:rPr>
      </w:pPr>
    </w:p>
    <w:tbl>
      <w:tblPr>
        <w:tblStyle w:val="TableGrid"/>
        <w:tblW w:w="9450" w:type="dxa"/>
        <w:tblInd w:w="-95" w:type="dxa"/>
        <w:tblLayout w:type="fixed"/>
        <w:tblLook w:val="04A0" w:firstRow="1" w:lastRow="0" w:firstColumn="1" w:lastColumn="0" w:noHBand="0" w:noVBand="1"/>
      </w:tblPr>
      <w:tblGrid>
        <w:gridCol w:w="2340"/>
        <w:gridCol w:w="7110"/>
      </w:tblGrid>
      <w:tr w:rsidR="00E5678A" w:rsidRPr="00CD2F11" w14:paraId="7DCF92B8" w14:textId="77777777" w:rsidTr="00491D3C">
        <w:trPr>
          <w:trHeight w:val="202"/>
        </w:trPr>
        <w:tc>
          <w:tcPr>
            <w:tcW w:w="2340" w:type="dxa"/>
            <w:shd w:val="clear" w:color="auto" w:fill="D9E2F3" w:themeFill="accent1" w:themeFillTint="33"/>
          </w:tcPr>
          <w:p w14:paraId="0C4BCBFA" w14:textId="77777777" w:rsidR="00E5678A" w:rsidRPr="00CD2F11" w:rsidRDefault="00E5678A" w:rsidP="00491D3C">
            <w:pPr>
              <w:pStyle w:val="paragraph"/>
              <w:spacing w:before="0" w:beforeAutospacing="0" w:after="0" w:afterAutospacing="0"/>
              <w:jc w:val="both"/>
              <w:textAlignment w:val="baseline"/>
              <w:rPr>
                <w:rStyle w:val="normaltextrun"/>
                <w:b/>
                <w:bCs/>
                <w:sz w:val="22"/>
                <w:szCs w:val="22"/>
              </w:rPr>
            </w:pPr>
            <w:r w:rsidRPr="00CD2F11">
              <w:rPr>
                <w:rStyle w:val="normaltextrun"/>
                <w:b/>
                <w:bCs/>
                <w:sz w:val="22"/>
                <w:szCs w:val="22"/>
              </w:rPr>
              <w:t xml:space="preserve">Labor Law </w:t>
            </w:r>
          </w:p>
        </w:tc>
        <w:tc>
          <w:tcPr>
            <w:tcW w:w="7110" w:type="dxa"/>
            <w:shd w:val="clear" w:color="auto" w:fill="D9E2F3" w:themeFill="accent1" w:themeFillTint="33"/>
          </w:tcPr>
          <w:p w14:paraId="52DCDB22" w14:textId="77777777" w:rsidR="00E5678A" w:rsidRPr="00CD2F11" w:rsidRDefault="00E5678A" w:rsidP="00491D3C">
            <w:pPr>
              <w:pStyle w:val="paragraph"/>
              <w:spacing w:before="0" w:beforeAutospacing="0" w:after="0" w:afterAutospacing="0"/>
              <w:jc w:val="both"/>
              <w:textAlignment w:val="baseline"/>
              <w:rPr>
                <w:rStyle w:val="normaltextrun"/>
                <w:b/>
                <w:bCs/>
                <w:sz w:val="22"/>
                <w:szCs w:val="22"/>
              </w:rPr>
            </w:pPr>
            <w:r w:rsidRPr="00CD2F11">
              <w:rPr>
                <w:rStyle w:val="normaltextrun"/>
                <w:b/>
                <w:bCs/>
                <w:sz w:val="22"/>
                <w:szCs w:val="22"/>
              </w:rPr>
              <w:t xml:space="preserve">Provisions </w:t>
            </w:r>
          </w:p>
        </w:tc>
      </w:tr>
      <w:tr w:rsidR="00E5678A" w:rsidRPr="00CD2F11" w14:paraId="27237338" w14:textId="77777777" w:rsidTr="00491D3C">
        <w:trPr>
          <w:trHeight w:val="962"/>
        </w:trPr>
        <w:tc>
          <w:tcPr>
            <w:tcW w:w="2340" w:type="dxa"/>
            <w:shd w:val="clear" w:color="auto" w:fill="EDF2F9"/>
          </w:tcPr>
          <w:p w14:paraId="1F3CA836" w14:textId="77777777" w:rsidR="00E5678A" w:rsidRPr="00CD2F11" w:rsidRDefault="00331D3F" w:rsidP="00491D3C">
            <w:pPr>
              <w:pStyle w:val="paragraph"/>
              <w:spacing w:before="0" w:beforeAutospacing="0" w:after="0" w:afterAutospacing="0"/>
              <w:jc w:val="both"/>
              <w:textAlignment w:val="baseline"/>
              <w:rPr>
                <w:rStyle w:val="normaltextrun"/>
                <w:sz w:val="22"/>
                <w:szCs w:val="22"/>
              </w:rPr>
            </w:pPr>
            <w:hyperlink r:id="rId10" w:history="1">
              <w:r w:rsidR="00E5678A" w:rsidRPr="00CD2F11">
                <w:rPr>
                  <w:rStyle w:val="Hyperlink"/>
                  <w:sz w:val="22"/>
                  <w:szCs w:val="22"/>
                </w:rPr>
                <w:t>Article 76(3)</w:t>
              </w:r>
            </w:hyperlink>
          </w:p>
        </w:tc>
        <w:tc>
          <w:tcPr>
            <w:tcW w:w="7110" w:type="dxa"/>
            <w:shd w:val="clear" w:color="auto" w:fill="EDF2F9"/>
          </w:tcPr>
          <w:p w14:paraId="750DF3C2" w14:textId="77777777" w:rsidR="00E5678A" w:rsidRPr="00CD2F11" w:rsidRDefault="00E5678A" w:rsidP="00491D3C">
            <w:pPr>
              <w:pStyle w:val="paragraph"/>
              <w:spacing w:before="0" w:beforeAutospacing="0" w:after="0" w:afterAutospacing="0"/>
              <w:jc w:val="both"/>
              <w:textAlignment w:val="baseline"/>
              <w:rPr>
                <w:sz w:val="22"/>
                <w:szCs w:val="22"/>
              </w:rPr>
            </w:pPr>
            <w:r w:rsidRPr="00CD2F11">
              <w:rPr>
                <w:sz w:val="22"/>
                <w:szCs w:val="22"/>
              </w:rPr>
              <w:t xml:space="preserve">Entrepreneurs who employ female workers/ laborers to work between 11 p.m. </w:t>
            </w:r>
            <w:r>
              <w:rPr>
                <w:sz w:val="22"/>
                <w:szCs w:val="22"/>
              </w:rPr>
              <w:t>and</w:t>
            </w:r>
            <w:r w:rsidRPr="00CD2F11">
              <w:rPr>
                <w:sz w:val="22"/>
                <w:szCs w:val="22"/>
              </w:rPr>
              <w:t xml:space="preserve"> 7 a.m. are under an obligation: </w:t>
            </w:r>
          </w:p>
          <w:p w14:paraId="334D5901" w14:textId="15A5972B" w:rsidR="00E5678A" w:rsidRPr="00CD2F11" w:rsidRDefault="00E5678A" w:rsidP="00491D3C">
            <w:pPr>
              <w:pStyle w:val="paragraph"/>
              <w:spacing w:before="0" w:beforeAutospacing="0" w:after="0" w:afterAutospacing="0"/>
              <w:jc w:val="both"/>
              <w:textAlignment w:val="baseline"/>
              <w:rPr>
                <w:sz w:val="22"/>
                <w:szCs w:val="22"/>
              </w:rPr>
            </w:pPr>
            <w:r w:rsidRPr="00CD2F11">
              <w:rPr>
                <w:sz w:val="22"/>
                <w:szCs w:val="22"/>
              </w:rPr>
              <w:t>a. To provide them with nutritious food and drinks</w:t>
            </w:r>
            <w:r w:rsidR="005D4B1C">
              <w:rPr>
                <w:sz w:val="22"/>
                <w:szCs w:val="22"/>
              </w:rPr>
              <w:t>;</w:t>
            </w:r>
            <w:r w:rsidRPr="00CD2F11">
              <w:rPr>
                <w:sz w:val="22"/>
                <w:szCs w:val="22"/>
              </w:rPr>
              <w:t xml:space="preserve"> and</w:t>
            </w:r>
          </w:p>
          <w:p w14:paraId="395C5B33" w14:textId="77777777" w:rsidR="00E5678A" w:rsidRPr="00CD2F11" w:rsidRDefault="00E5678A" w:rsidP="00491D3C">
            <w:pPr>
              <w:pStyle w:val="paragraph"/>
              <w:spacing w:before="0" w:beforeAutospacing="0" w:after="0" w:afterAutospacing="0"/>
              <w:jc w:val="both"/>
              <w:textAlignment w:val="baseline"/>
              <w:rPr>
                <w:rStyle w:val="normaltextrun"/>
                <w:sz w:val="22"/>
                <w:szCs w:val="22"/>
              </w:rPr>
            </w:pPr>
            <w:r w:rsidRPr="00CD2F11">
              <w:rPr>
                <w:sz w:val="22"/>
                <w:szCs w:val="22"/>
              </w:rPr>
              <w:t xml:space="preserve">b. To maintain decency/ morality and security in the workplace.  </w:t>
            </w:r>
          </w:p>
        </w:tc>
      </w:tr>
      <w:tr w:rsidR="00E5678A" w:rsidRPr="00CD2F11" w14:paraId="4DC117AC" w14:textId="77777777" w:rsidTr="00491D3C">
        <w:trPr>
          <w:trHeight w:val="755"/>
        </w:trPr>
        <w:tc>
          <w:tcPr>
            <w:tcW w:w="2340" w:type="dxa"/>
            <w:shd w:val="clear" w:color="auto" w:fill="EDF2F9"/>
          </w:tcPr>
          <w:p w14:paraId="1607EDF5" w14:textId="77777777" w:rsidR="00E5678A" w:rsidRPr="00CD2F11" w:rsidRDefault="00331D3F" w:rsidP="00491D3C">
            <w:pPr>
              <w:pStyle w:val="paragraph"/>
              <w:spacing w:before="0" w:beforeAutospacing="0" w:after="0" w:afterAutospacing="0"/>
              <w:jc w:val="both"/>
              <w:textAlignment w:val="baseline"/>
              <w:rPr>
                <w:rStyle w:val="normaltextrun"/>
                <w:sz w:val="22"/>
                <w:szCs w:val="22"/>
              </w:rPr>
            </w:pPr>
            <w:hyperlink r:id="rId11" w:history="1">
              <w:r w:rsidR="00E5678A" w:rsidRPr="00CD2F11">
                <w:rPr>
                  <w:rStyle w:val="Hyperlink"/>
                  <w:sz w:val="22"/>
                  <w:szCs w:val="22"/>
                </w:rPr>
                <w:t>Article 76(4)</w:t>
              </w:r>
            </w:hyperlink>
          </w:p>
        </w:tc>
        <w:tc>
          <w:tcPr>
            <w:tcW w:w="7110" w:type="dxa"/>
            <w:shd w:val="clear" w:color="auto" w:fill="EDF2F9"/>
          </w:tcPr>
          <w:p w14:paraId="494095D6" w14:textId="77777777" w:rsidR="00E5678A" w:rsidRPr="00CD2F11" w:rsidRDefault="00E5678A" w:rsidP="00491D3C">
            <w:pPr>
              <w:pStyle w:val="paragraph"/>
              <w:spacing w:before="0" w:beforeAutospacing="0" w:after="0" w:afterAutospacing="0"/>
              <w:jc w:val="both"/>
              <w:textAlignment w:val="baseline"/>
              <w:rPr>
                <w:rStyle w:val="normaltextrun"/>
                <w:sz w:val="22"/>
                <w:szCs w:val="22"/>
              </w:rPr>
            </w:pPr>
            <w:r w:rsidRPr="00CD2F11">
              <w:rPr>
                <w:sz w:val="22"/>
                <w:szCs w:val="22"/>
              </w:rPr>
              <w:t>Entrepreneurs are under an obligation to provide return/ roundtrip transport for female workers/</w:t>
            </w:r>
            <w:r>
              <w:rPr>
                <w:sz w:val="22"/>
                <w:szCs w:val="22"/>
              </w:rPr>
              <w:t>laborers who work between 11 p.m. and</w:t>
            </w:r>
            <w:r w:rsidRPr="00CD2F11">
              <w:rPr>
                <w:sz w:val="22"/>
                <w:szCs w:val="22"/>
              </w:rPr>
              <w:t xml:space="preserve"> 5 a.m.</w:t>
            </w:r>
          </w:p>
        </w:tc>
      </w:tr>
      <w:tr w:rsidR="00E5678A" w:rsidRPr="00CD2F11" w14:paraId="6FB44084" w14:textId="77777777" w:rsidTr="00491D3C">
        <w:trPr>
          <w:trHeight w:val="712"/>
        </w:trPr>
        <w:tc>
          <w:tcPr>
            <w:tcW w:w="2340" w:type="dxa"/>
            <w:shd w:val="clear" w:color="auto" w:fill="EDF2F9"/>
          </w:tcPr>
          <w:p w14:paraId="03B5EEAA" w14:textId="77777777" w:rsidR="00E5678A" w:rsidRPr="00CD2F11" w:rsidRDefault="00331D3F" w:rsidP="00491D3C">
            <w:pPr>
              <w:pStyle w:val="paragraph"/>
              <w:spacing w:before="0" w:beforeAutospacing="0" w:after="0" w:afterAutospacing="0"/>
              <w:jc w:val="both"/>
              <w:textAlignment w:val="baseline"/>
              <w:rPr>
                <w:rStyle w:val="normaltextrun"/>
                <w:sz w:val="22"/>
                <w:szCs w:val="22"/>
              </w:rPr>
            </w:pPr>
            <w:hyperlink r:id="rId12" w:history="1">
              <w:r w:rsidR="00E5678A" w:rsidRPr="00CD2F11">
                <w:rPr>
                  <w:rStyle w:val="Hyperlink"/>
                  <w:sz w:val="22"/>
                  <w:szCs w:val="22"/>
                </w:rPr>
                <w:t>Article 81</w:t>
              </w:r>
            </w:hyperlink>
          </w:p>
        </w:tc>
        <w:tc>
          <w:tcPr>
            <w:tcW w:w="7110" w:type="dxa"/>
            <w:shd w:val="clear" w:color="auto" w:fill="EDF2F9"/>
          </w:tcPr>
          <w:p w14:paraId="7591A6AD" w14:textId="06D135B5" w:rsidR="00E5678A" w:rsidRPr="00CD2F11" w:rsidRDefault="00E5678A" w:rsidP="00491D3C">
            <w:pPr>
              <w:pStyle w:val="paragraph"/>
              <w:spacing w:before="0" w:beforeAutospacing="0" w:after="0" w:afterAutospacing="0"/>
              <w:jc w:val="both"/>
              <w:textAlignment w:val="baseline"/>
              <w:rPr>
                <w:sz w:val="22"/>
                <w:szCs w:val="22"/>
              </w:rPr>
            </w:pPr>
            <w:r w:rsidRPr="00CD2F11">
              <w:rPr>
                <w:sz w:val="22"/>
                <w:szCs w:val="22"/>
              </w:rPr>
              <w:t>Female workers/</w:t>
            </w:r>
            <w:r>
              <w:rPr>
                <w:sz w:val="22"/>
                <w:szCs w:val="22"/>
              </w:rPr>
              <w:t>laborers</w:t>
            </w:r>
            <w:r w:rsidRPr="00CD2F11">
              <w:rPr>
                <w:sz w:val="22"/>
                <w:szCs w:val="22"/>
              </w:rPr>
              <w:t xml:space="preserve"> who feel pain during their menstrual period and tell the entrepreneur about this are not obliged to come to work on the first and second day</w:t>
            </w:r>
            <w:r w:rsidR="005D4B1C">
              <w:rPr>
                <w:sz w:val="22"/>
                <w:szCs w:val="22"/>
              </w:rPr>
              <w:t>s</w:t>
            </w:r>
            <w:r w:rsidRPr="00CD2F11">
              <w:rPr>
                <w:sz w:val="22"/>
                <w:szCs w:val="22"/>
              </w:rPr>
              <w:t xml:space="preserve"> of menstruation.</w:t>
            </w:r>
          </w:p>
        </w:tc>
      </w:tr>
    </w:tbl>
    <w:p w14:paraId="6623AEBE" w14:textId="77777777" w:rsidR="003C4CB5" w:rsidRDefault="003C4CB5" w:rsidP="004E045B">
      <w:pPr>
        <w:jc w:val="both"/>
        <w:rPr>
          <w:rFonts w:ascii="Times New Roman" w:hAnsi="Times New Roman" w:cs="Times New Roman"/>
        </w:rPr>
      </w:pPr>
    </w:p>
    <w:p w14:paraId="7FEA1643" w14:textId="359D3EEE" w:rsidR="003765B1" w:rsidRDefault="003765B1" w:rsidP="004E045B">
      <w:pPr>
        <w:jc w:val="both"/>
        <w:rPr>
          <w:rFonts w:ascii="Times New Roman" w:hAnsi="Times New Roman" w:cs="Times New Roman"/>
        </w:rPr>
      </w:pPr>
      <w:r>
        <w:rPr>
          <w:rFonts w:ascii="Times New Roman" w:hAnsi="Times New Roman" w:cs="Times New Roman"/>
        </w:rPr>
        <w:t>However, simply r</w:t>
      </w:r>
      <w:r w:rsidRPr="003765B1">
        <w:rPr>
          <w:rFonts w:ascii="Times New Roman" w:hAnsi="Times New Roman" w:cs="Times New Roman"/>
        </w:rPr>
        <w:t xml:space="preserve">emoving these articles </w:t>
      </w:r>
      <w:r>
        <w:rPr>
          <w:rFonts w:ascii="Times New Roman" w:hAnsi="Times New Roman" w:cs="Times New Roman"/>
        </w:rPr>
        <w:t xml:space="preserve">in their </w:t>
      </w:r>
      <w:r w:rsidRPr="003765B1">
        <w:rPr>
          <w:rFonts w:ascii="Times New Roman" w:hAnsi="Times New Roman" w:cs="Times New Roman"/>
        </w:rPr>
        <w:t>entirely could be counterproductive in the Indonesian context</w:t>
      </w:r>
      <w:r>
        <w:rPr>
          <w:rFonts w:ascii="Times New Roman" w:hAnsi="Times New Roman" w:cs="Times New Roman"/>
        </w:rPr>
        <w:t>. I</w:t>
      </w:r>
      <w:r w:rsidRPr="003765B1">
        <w:rPr>
          <w:rFonts w:ascii="Times New Roman" w:hAnsi="Times New Roman" w:cs="Times New Roman"/>
        </w:rPr>
        <w:t>nstead</w:t>
      </w:r>
      <w:r>
        <w:rPr>
          <w:rFonts w:ascii="Times New Roman" w:hAnsi="Times New Roman" w:cs="Times New Roman"/>
        </w:rPr>
        <w:t>,</w:t>
      </w:r>
      <w:r w:rsidRPr="003765B1">
        <w:rPr>
          <w:rFonts w:ascii="Times New Roman" w:hAnsi="Times New Roman" w:cs="Times New Roman"/>
        </w:rPr>
        <w:t xml:space="preserve"> they </w:t>
      </w:r>
      <w:r>
        <w:rPr>
          <w:rFonts w:ascii="Times New Roman" w:hAnsi="Times New Roman" w:cs="Times New Roman"/>
        </w:rPr>
        <w:t>c</w:t>
      </w:r>
      <w:r w:rsidRPr="003765B1">
        <w:rPr>
          <w:rFonts w:ascii="Times New Roman" w:hAnsi="Times New Roman" w:cs="Times New Roman"/>
        </w:rPr>
        <w:t>ould be made</w:t>
      </w:r>
      <w:r>
        <w:rPr>
          <w:rFonts w:ascii="Times New Roman" w:hAnsi="Times New Roman" w:cs="Times New Roman"/>
        </w:rPr>
        <w:t xml:space="preserve"> </w:t>
      </w:r>
      <w:r w:rsidRPr="003765B1">
        <w:rPr>
          <w:rFonts w:ascii="Times New Roman" w:hAnsi="Times New Roman" w:cs="Times New Roman"/>
        </w:rPr>
        <w:t>flexible enough to minimize the costs</w:t>
      </w:r>
      <w:r>
        <w:rPr>
          <w:rFonts w:ascii="Times New Roman" w:hAnsi="Times New Roman" w:cs="Times New Roman"/>
        </w:rPr>
        <w:t xml:space="preserve"> incurred by employers, depending on company size.</w:t>
      </w:r>
    </w:p>
    <w:p w14:paraId="2FB312B1" w14:textId="77777777" w:rsidR="00FB70BB" w:rsidRPr="004E045B" w:rsidRDefault="00FB70BB" w:rsidP="004E045B">
      <w:pPr>
        <w:jc w:val="both"/>
        <w:rPr>
          <w:rFonts w:ascii="Times New Roman" w:hAnsi="Times New Roman" w:cs="Times New Roman"/>
        </w:rPr>
      </w:pPr>
    </w:p>
    <w:p w14:paraId="49B7BB0B" w14:textId="4651FA66" w:rsidR="001B2FA2" w:rsidRPr="00C73CF8" w:rsidRDefault="00355429" w:rsidP="007C033A">
      <w:pPr>
        <w:pStyle w:val="ListParagraph"/>
        <w:spacing w:after="120" w:line="240" w:lineRule="auto"/>
        <w:ind w:left="1080"/>
        <w:rPr>
          <w:rFonts w:ascii="Times New Roman" w:eastAsia="Times New Roman" w:hAnsi="Times New Roman" w:cs="Times New Roman"/>
          <w:b/>
          <w:bCs/>
          <w:sz w:val="24"/>
          <w:szCs w:val="24"/>
        </w:rPr>
      </w:pPr>
      <w:r>
        <w:rPr>
          <w:rFonts w:ascii="Times New Roman" w:eastAsia="Times New Roman" w:hAnsi="Times New Roman" w:cs="Times New Roman"/>
          <w:b/>
          <w:bCs/>
        </w:rPr>
        <w:t xml:space="preserve">b. </w:t>
      </w:r>
      <w:r w:rsidR="00A97D38" w:rsidRPr="00C73CF8">
        <w:rPr>
          <w:rFonts w:ascii="Times New Roman" w:eastAsia="Times New Roman" w:hAnsi="Times New Roman" w:cs="Times New Roman"/>
          <w:b/>
          <w:bCs/>
          <w:sz w:val="24"/>
          <w:szCs w:val="24"/>
        </w:rPr>
        <w:t xml:space="preserve">Tax constraints </w:t>
      </w:r>
    </w:p>
    <w:p w14:paraId="11A1DDDE" w14:textId="37E90FAC" w:rsidR="00ED06E8" w:rsidRDefault="00667796" w:rsidP="001029F6">
      <w:pPr>
        <w:jc w:val="both"/>
        <w:rPr>
          <w:rFonts w:ascii="Times New Roman" w:hAnsi="Times New Roman" w:cs="Times New Roman"/>
        </w:rPr>
      </w:pPr>
      <w:r>
        <w:rPr>
          <w:rFonts w:ascii="Times New Roman" w:hAnsi="Times New Roman" w:cs="Times New Roman"/>
          <w:b/>
          <w:bCs/>
        </w:rPr>
        <w:t xml:space="preserve">The optional joint </w:t>
      </w:r>
      <w:r w:rsidR="00FB1976" w:rsidRPr="00CD2F11">
        <w:rPr>
          <w:rFonts w:ascii="Times New Roman" w:hAnsi="Times New Roman" w:cs="Times New Roman"/>
          <w:b/>
          <w:bCs/>
        </w:rPr>
        <w:t>tax</w:t>
      </w:r>
      <w:r w:rsidR="00C54B37">
        <w:rPr>
          <w:rFonts w:ascii="Times New Roman" w:hAnsi="Times New Roman" w:cs="Times New Roman"/>
          <w:b/>
          <w:bCs/>
        </w:rPr>
        <w:t>ation</w:t>
      </w:r>
      <w:r w:rsidR="00FB1976" w:rsidRPr="00CD2F11">
        <w:rPr>
          <w:rFonts w:ascii="Times New Roman" w:hAnsi="Times New Roman" w:cs="Times New Roman"/>
          <w:b/>
          <w:bCs/>
        </w:rPr>
        <w:t xml:space="preserve"> </w:t>
      </w:r>
      <w:r w:rsidR="00B62A44">
        <w:rPr>
          <w:rFonts w:ascii="Times New Roman" w:hAnsi="Times New Roman" w:cs="Times New Roman"/>
          <w:b/>
          <w:bCs/>
        </w:rPr>
        <w:t>system</w:t>
      </w:r>
      <w:r w:rsidR="00B62A44" w:rsidRPr="00CD2F11">
        <w:rPr>
          <w:rFonts w:ascii="Times New Roman" w:hAnsi="Times New Roman" w:cs="Times New Roman"/>
          <w:b/>
          <w:bCs/>
        </w:rPr>
        <w:t xml:space="preserve"> </w:t>
      </w:r>
      <w:r w:rsidR="00FB1976" w:rsidRPr="00CD2F11">
        <w:rPr>
          <w:rFonts w:ascii="Times New Roman" w:hAnsi="Times New Roman" w:cs="Times New Roman"/>
          <w:b/>
          <w:bCs/>
        </w:rPr>
        <w:t xml:space="preserve">for married </w:t>
      </w:r>
      <w:r>
        <w:rPr>
          <w:rFonts w:ascii="Times New Roman" w:hAnsi="Times New Roman" w:cs="Times New Roman"/>
          <w:b/>
          <w:bCs/>
        </w:rPr>
        <w:t xml:space="preserve">Indonesian </w:t>
      </w:r>
      <w:r w:rsidR="00FB1976" w:rsidRPr="00CD2F11">
        <w:rPr>
          <w:rFonts w:ascii="Times New Roman" w:hAnsi="Times New Roman" w:cs="Times New Roman"/>
          <w:b/>
          <w:bCs/>
        </w:rPr>
        <w:t xml:space="preserve">women </w:t>
      </w:r>
      <w:r w:rsidR="009B5B57" w:rsidRPr="00CD2F11">
        <w:rPr>
          <w:rFonts w:ascii="Times New Roman" w:hAnsi="Times New Roman" w:cs="Times New Roman"/>
          <w:b/>
          <w:bCs/>
        </w:rPr>
        <w:t xml:space="preserve">can </w:t>
      </w:r>
      <w:r w:rsidR="00A21A12">
        <w:rPr>
          <w:rFonts w:ascii="Times New Roman" w:hAnsi="Times New Roman" w:cs="Times New Roman"/>
          <w:b/>
          <w:bCs/>
        </w:rPr>
        <w:t xml:space="preserve">adversely </w:t>
      </w:r>
      <w:r w:rsidR="009B5B57" w:rsidRPr="00CD2F11">
        <w:rPr>
          <w:rFonts w:ascii="Times New Roman" w:hAnsi="Times New Roman" w:cs="Times New Roman"/>
          <w:b/>
          <w:bCs/>
        </w:rPr>
        <w:t>affect their independence and ability to make financial decisions.</w:t>
      </w:r>
      <w:r w:rsidR="009B5B57" w:rsidRPr="00CD2F11">
        <w:rPr>
          <w:rFonts w:ascii="Times New Roman" w:hAnsi="Times New Roman" w:cs="Times New Roman"/>
        </w:rPr>
        <w:t xml:space="preserve"> Article 8 of Law No. 7/1983, modified by Law No. 36/2008 on Income Tax, provides guidance on two </w:t>
      </w:r>
      <w:r w:rsidR="007E6BCA">
        <w:rPr>
          <w:rFonts w:ascii="Times New Roman" w:hAnsi="Times New Roman" w:cs="Times New Roman"/>
        </w:rPr>
        <w:t>tax filing methods</w:t>
      </w:r>
      <w:r w:rsidR="009B5B57" w:rsidRPr="00CD2F11">
        <w:rPr>
          <w:rFonts w:ascii="Times New Roman" w:hAnsi="Times New Roman" w:cs="Times New Roman"/>
        </w:rPr>
        <w:t xml:space="preserve"> for employed married women</w:t>
      </w:r>
      <w:r w:rsidR="00425C8B" w:rsidRPr="00CD2F11">
        <w:rPr>
          <w:rFonts w:ascii="Times New Roman" w:hAnsi="Times New Roman" w:cs="Times New Roman"/>
        </w:rPr>
        <w:t>: j</w:t>
      </w:r>
      <w:r w:rsidR="004F11EF" w:rsidRPr="00CD2F11">
        <w:rPr>
          <w:rFonts w:ascii="Times New Roman" w:hAnsi="Times New Roman" w:cs="Times New Roman"/>
        </w:rPr>
        <w:t>ointly</w:t>
      </w:r>
      <w:r w:rsidR="002F3599" w:rsidRPr="00CD2F11">
        <w:rPr>
          <w:rFonts w:ascii="Times New Roman" w:hAnsi="Times New Roman" w:cs="Times New Roman"/>
        </w:rPr>
        <w:t xml:space="preserve"> with</w:t>
      </w:r>
      <w:r w:rsidR="004F11EF" w:rsidRPr="00CD2F11">
        <w:rPr>
          <w:rFonts w:ascii="Times New Roman" w:hAnsi="Times New Roman" w:cs="Times New Roman"/>
        </w:rPr>
        <w:t xml:space="preserve"> </w:t>
      </w:r>
      <w:r w:rsidR="00425C8B" w:rsidRPr="00CD2F11">
        <w:rPr>
          <w:rFonts w:ascii="Times New Roman" w:hAnsi="Times New Roman" w:cs="Times New Roman"/>
        </w:rPr>
        <w:t>their husband as a family unit</w:t>
      </w:r>
      <w:r w:rsidR="00057942">
        <w:rPr>
          <w:rFonts w:ascii="Times New Roman" w:hAnsi="Times New Roman" w:cs="Times New Roman"/>
        </w:rPr>
        <w:t>,</w:t>
      </w:r>
      <w:r w:rsidR="00425C8B" w:rsidRPr="00CD2F11">
        <w:rPr>
          <w:rFonts w:ascii="Times New Roman" w:hAnsi="Times New Roman" w:cs="Times New Roman"/>
        </w:rPr>
        <w:t xml:space="preserve"> </w:t>
      </w:r>
      <w:r w:rsidR="002F3599" w:rsidRPr="00CD2F11">
        <w:rPr>
          <w:rFonts w:ascii="Times New Roman" w:hAnsi="Times New Roman" w:cs="Times New Roman"/>
        </w:rPr>
        <w:t xml:space="preserve">or separately </w:t>
      </w:r>
      <w:r w:rsidR="004F11EF" w:rsidRPr="00CD2F11">
        <w:rPr>
          <w:rFonts w:ascii="Times New Roman" w:hAnsi="Times New Roman" w:cs="Times New Roman"/>
        </w:rPr>
        <w:t>as individuals. There are certain conditions under which a wife can file her tax return individually, including</w:t>
      </w:r>
      <w:r w:rsidR="005D4B1C">
        <w:rPr>
          <w:rFonts w:ascii="Times New Roman" w:hAnsi="Times New Roman" w:cs="Times New Roman"/>
        </w:rPr>
        <w:t>:</w:t>
      </w:r>
      <w:r w:rsidR="00370CE3" w:rsidRPr="00CD2F11">
        <w:rPr>
          <w:rFonts w:ascii="Times New Roman" w:hAnsi="Times New Roman" w:cs="Times New Roman"/>
        </w:rPr>
        <w:t xml:space="preserve"> (i)</w:t>
      </w:r>
      <w:r w:rsidR="004F11EF" w:rsidRPr="00CD2F11">
        <w:rPr>
          <w:rFonts w:ascii="Times New Roman" w:hAnsi="Times New Roman" w:cs="Times New Roman"/>
        </w:rPr>
        <w:t xml:space="preserve"> if her income has already been taxed through her employer</w:t>
      </w:r>
      <w:r w:rsidR="005D4B1C">
        <w:rPr>
          <w:rFonts w:ascii="Times New Roman" w:hAnsi="Times New Roman" w:cs="Times New Roman"/>
        </w:rPr>
        <w:t>;</w:t>
      </w:r>
      <w:r w:rsidR="00370CE3" w:rsidRPr="00CD2F11">
        <w:rPr>
          <w:rFonts w:ascii="Times New Roman" w:hAnsi="Times New Roman" w:cs="Times New Roman"/>
        </w:rPr>
        <w:t xml:space="preserve"> (ii)</w:t>
      </w:r>
      <w:r w:rsidR="004F11EF" w:rsidRPr="00CD2F11">
        <w:rPr>
          <w:rFonts w:ascii="Times New Roman" w:hAnsi="Times New Roman" w:cs="Times New Roman"/>
        </w:rPr>
        <w:t xml:space="preserve"> if the husband and wife </w:t>
      </w:r>
      <w:r w:rsidR="00902AD2" w:rsidRPr="00CD2F11">
        <w:rPr>
          <w:rFonts w:ascii="Times New Roman" w:hAnsi="Times New Roman" w:cs="Times New Roman"/>
        </w:rPr>
        <w:t>conjointly declare formally</w:t>
      </w:r>
      <w:r w:rsidR="004F11EF" w:rsidRPr="00CD2F11">
        <w:rPr>
          <w:rFonts w:ascii="Times New Roman" w:hAnsi="Times New Roman" w:cs="Times New Roman"/>
        </w:rPr>
        <w:t xml:space="preserve"> </w:t>
      </w:r>
      <w:r w:rsidR="006C3BC5">
        <w:rPr>
          <w:rFonts w:ascii="Times New Roman" w:hAnsi="Times New Roman" w:cs="Times New Roman"/>
        </w:rPr>
        <w:t>to separate their property or income legally</w:t>
      </w:r>
      <w:r w:rsidR="005D4B1C">
        <w:rPr>
          <w:rFonts w:ascii="Times New Roman" w:hAnsi="Times New Roman" w:cs="Times New Roman"/>
        </w:rPr>
        <w:t>;</w:t>
      </w:r>
      <w:r w:rsidR="004F11EF" w:rsidRPr="00CD2F11">
        <w:rPr>
          <w:rFonts w:ascii="Times New Roman" w:hAnsi="Times New Roman" w:cs="Times New Roman"/>
        </w:rPr>
        <w:t xml:space="preserve"> or </w:t>
      </w:r>
      <w:r w:rsidR="00370CE3" w:rsidRPr="00CD2F11">
        <w:rPr>
          <w:rFonts w:ascii="Times New Roman" w:hAnsi="Times New Roman" w:cs="Times New Roman"/>
        </w:rPr>
        <w:t xml:space="preserve">(iii) </w:t>
      </w:r>
      <w:r w:rsidR="004F11EF" w:rsidRPr="00CD2F11">
        <w:rPr>
          <w:rFonts w:ascii="Times New Roman" w:hAnsi="Times New Roman" w:cs="Times New Roman"/>
        </w:rPr>
        <w:t>if the wife wishes to meet her tax obligations individually.</w:t>
      </w:r>
      <w:r w:rsidR="00425C8B" w:rsidRPr="00CD2F11">
        <w:rPr>
          <w:rFonts w:ascii="Times New Roman" w:hAnsi="Times New Roman" w:cs="Times New Roman"/>
        </w:rPr>
        <w:t xml:space="preserve"> </w:t>
      </w:r>
      <w:r w:rsidR="00F31026" w:rsidRPr="00F31026">
        <w:rPr>
          <w:rFonts w:ascii="Times New Roman" w:hAnsi="Times New Roman" w:cs="Times New Roman"/>
        </w:rPr>
        <w:t>The issue arises because</w:t>
      </w:r>
      <w:r w:rsidR="005D4B1C">
        <w:rPr>
          <w:rFonts w:ascii="Times New Roman" w:hAnsi="Times New Roman" w:cs="Times New Roman"/>
        </w:rPr>
        <w:t>,</w:t>
      </w:r>
      <w:r w:rsidR="00F31026" w:rsidRPr="00F31026">
        <w:rPr>
          <w:rFonts w:ascii="Times New Roman" w:hAnsi="Times New Roman" w:cs="Times New Roman"/>
        </w:rPr>
        <w:t xml:space="preserve"> while it is more beneficial for a couple to file their taxes jointly, it may not be advantageous for the wife as a secondary earner if she falls into a higher marginal tax bracket</w:t>
      </w:r>
      <w:r w:rsidR="004F11EF" w:rsidRPr="00CD2F11">
        <w:rPr>
          <w:rFonts w:ascii="Times New Roman" w:hAnsi="Times New Roman" w:cs="Times New Roman"/>
        </w:rPr>
        <w:t xml:space="preserve">. For instance, in dual-earner families where women choose to have their tax file numbers, they may end up paying higher income tax compared </w:t>
      </w:r>
      <w:r w:rsidR="005D4B1C">
        <w:rPr>
          <w:rFonts w:ascii="Times New Roman" w:hAnsi="Times New Roman" w:cs="Times New Roman"/>
        </w:rPr>
        <w:t>with</w:t>
      </w:r>
      <w:r w:rsidR="004F11EF" w:rsidRPr="00CD2F11">
        <w:rPr>
          <w:rFonts w:ascii="Times New Roman" w:hAnsi="Times New Roman" w:cs="Times New Roman"/>
        </w:rPr>
        <w:t xml:space="preserve"> dual-earner families with a single-family tax file number, which is typically the husband</w:t>
      </w:r>
      <w:r w:rsidR="00A21A12">
        <w:rPr>
          <w:rFonts w:ascii="Times New Roman" w:hAnsi="Times New Roman" w:cs="Times New Roman"/>
        </w:rPr>
        <w:t>’</w:t>
      </w:r>
      <w:r w:rsidR="004F11EF" w:rsidRPr="00CD2F11">
        <w:rPr>
          <w:rFonts w:ascii="Times New Roman" w:hAnsi="Times New Roman" w:cs="Times New Roman"/>
        </w:rPr>
        <w:t>s.</w:t>
      </w:r>
      <w:r w:rsidR="00C0565B" w:rsidRPr="00CD2F11">
        <w:rPr>
          <w:rFonts w:ascii="Times New Roman" w:hAnsi="Times New Roman" w:cs="Times New Roman"/>
        </w:rPr>
        <w:t xml:space="preserve"> </w:t>
      </w:r>
      <w:r w:rsidR="004F11EF" w:rsidRPr="00CD2F11">
        <w:rPr>
          <w:rFonts w:ascii="Times New Roman" w:hAnsi="Times New Roman" w:cs="Times New Roman"/>
        </w:rPr>
        <w:t xml:space="preserve">This discrepancy in tax treatment </w:t>
      </w:r>
      <w:r w:rsidR="00C0565B" w:rsidRPr="00CD2F11">
        <w:rPr>
          <w:rFonts w:ascii="Times New Roman" w:hAnsi="Times New Roman" w:cs="Times New Roman"/>
        </w:rPr>
        <w:t xml:space="preserve">may </w:t>
      </w:r>
      <w:r w:rsidR="004F11EF" w:rsidRPr="00CD2F11">
        <w:rPr>
          <w:rFonts w:ascii="Times New Roman" w:hAnsi="Times New Roman" w:cs="Times New Roman"/>
        </w:rPr>
        <w:t>disproportionately burden women</w:t>
      </w:r>
      <w:r w:rsidR="00EF7ADD" w:rsidRPr="00CD2F11">
        <w:rPr>
          <w:rFonts w:ascii="Times New Roman" w:hAnsi="Times New Roman" w:cs="Times New Roman"/>
        </w:rPr>
        <w:t>, reducing their incentive to</w:t>
      </w:r>
      <w:r w:rsidR="00E333DC" w:rsidRPr="00CD2F11">
        <w:rPr>
          <w:rFonts w:ascii="Times New Roman" w:hAnsi="Times New Roman" w:cs="Times New Roman"/>
        </w:rPr>
        <w:t xml:space="preserve"> </w:t>
      </w:r>
      <w:r w:rsidR="00C850D4" w:rsidRPr="00CD2F11">
        <w:rPr>
          <w:rFonts w:ascii="Times New Roman" w:hAnsi="Times New Roman" w:cs="Times New Roman"/>
        </w:rPr>
        <w:t xml:space="preserve">seek separate income. </w:t>
      </w:r>
      <w:r w:rsidR="00902AD2" w:rsidRPr="00CD2F11">
        <w:rPr>
          <w:rFonts w:ascii="Times New Roman" w:hAnsi="Times New Roman" w:cs="Times New Roman"/>
        </w:rPr>
        <w:t>These</w:t>
      </w:r>
      <w:r w:rsidR="00F85681" w:rsidRPr="00CD2F11">
        <w:rPr>
          <w:rFonts w:ascii="Times New Roman" w:hAnsi="Times New Roman" w:cs="Times New Roman"/>
        </w:rPr>
        <w:t xml:space="preserve"> losses could be covered through other provisions</w:t>
      </w:r>
      <w:r w:rsidR="005D4B1C">
        <w:rPr>
          <w:rFonts w:ascii="Times New Roman" w:hAnsi="Times New Roman" w:cs="Times New Roman"/>
        </w:rPr>
        <w:t>,</w:t>
      </w:r>
      <w:r w:rsidR="00F85681" w:rsidRPr="00CD2F11">
        <w:rPr>
          <w:rFonts w:ascii="Times New Roman" w:hAnsi="Times New Roman" w:cs="Times New Roman"/>
        </w:rPr>
        <w:t xml:space="preserve"> </w:t>
      </w:r>
      <w:r w:rsidR="00CA6CDD">
        <w:rPr>
          <w:rFonts w:ascii="Times New Roman" w:hAnsi="Times New Roman" w:cs="Times New Roman"/>
        </w:rPr>
        <w:t>such as additional</w:t>
      </w:r>
      <w:r w:rsidR="00CA6CDD" w:rsidRPr="00CD2F11">
        <w:rPr>
          <w:rFonts w:ascii="Times New Roman" w:hAnsi="Times New Roman" w:cs="Times New Roman"/>
        </w:rPr>
        <w:t xml:space="preserve"> </w:t>
      </w:r>
      <w:r w:rsidR="00F85681" w:rsidRPr="00CD2F11">
        <w:rPr>
          <w:rFonts w:ascii="Times New Roman" w:hAnsi="Times New Roman" w:cs="Times New Roman"/>
        </w:rPr>
        <w:t xml:space="preserve">tax </w:t>
      </w:r>
      <w:r w:rsidR="00971E0A" w:rsidRPr="00CD2F11">
        <w:rPr>
          <w:rFonts w:ascii="Times New Roman" w:hAnsi="Times New Roman" w:cs="Times New Roman"/>
        </w:rPr>
        <w:t>deductions</w:t>
      </w:r>
      <w:r w:rsidR="00E03D31" w:rsidRPr="00CD2F11">
        <w:rPr>
          <w:rFonts w:ascii="Times New Roman" w:hAnsi="Times New Roman" w:cs="Times New Roman"/>
        </w:rPr>
        <w:t xml:space="preserve"> </w:t>
      </w:r>
      <w:r w:rsidR="001C5418">
        <w:rPr>
          <w:rFonts w:ascii="Times New Roman" w:hAnsi="Times New Roman" w:cs="Times New Roman"/>
        </w:rPr>
        <w:t xml:space="preserve">for </w:t>
      </w:r>
      <w:r w:rsidR="00E03D31">
        <w:rPr>
          <w:rFonts w:ascii="Times New Roman" w:hAnsi="Times New Roman" w:cs="Times New Roman"/>
        </w:rPr>
        <w:t>couples or through employers</w:t>
      </w:r>
      <w:r w:rsidR="00971E0A" w:rsidRPr="00CD2F11">
        <w:rPr>
          <w:rFonts w:ascii="Times New Roman" w:hAnsi="Times New Roman" w:cs="Times New Roman"/>
        </w:rPr>
        <w:t xml:space="preserve">, or </w:t>
      </w:r>
      <w:r w:rsidR="00E03D31">
        <w:rPr>
          <w:rFonts w:ascii="Times New Roman" w:hAnsi="Times New Roman" w:cs="Times New Roman"/>
        </w:rPr>
        <w:t>tax deduc</w:t>
      </w:r>
      <w:r w:rsidR="00444F97">
        <w:rPr>
          <w:rFonts w:ascii="Times New Roman" w:hAnsi="Times New Roman" w:cs="Times New Roman"/>
        </w:rPr>
        <w:t>tion</w:t>
      </w:r>
      <w:r w:rsidR="004A4B0C">
        <w:rPr>
          <w:rFonts w:ascii="Times New Roman" w:hAnsi="Times New Roman" w:cs="Times New Roman"/>
        </w:rPr>
        <w:t xml:space="preserve">s </w:t>
      </w:r>
      <w:r w:rsidR="00180657">
        <w:rPr>
          <w:rFonts w:ascii="Times New Roman" w:hAnsi="Times New Roman" w:cs="Times New Roman"/>
        </w:rPr>
        <w:t>on childcare expenses</w:t>
      </w:r>
      <w:r w:rsidR="00970BB2">
        <w:rPr>
          <w:rFonts w:ascii="Times New Roman" w:hAnsi="Times New Roman" w:cs="Times New Roman"/>
        </w:rPr>
        <w:t xml:space="preserve"> (</w:t>
      </w:r>
      <w:proofErr w:type="spellStart"/>
      <w:r w:rsidR="00970BB2">
        <w:rPr>
          <w:rFonts w:ascii="Times New Roman" w:hAnsi="Times New Roman" w:cs="Times New Roman"/>
        </w:rPr>
        <w:t>Niesten</w:t>
      </w:r>
      <w:proofErr w:type="spellEnd"/>
      <w:r w:rsidR="00970BB2">
        <w:rPr>
          <w:rFonts w:ascii="Times New Roman" w:hAnsi="Times New Roman" w:cs="Times New Roman"/>
        </w:rPr>
        <w:t xml:space="preserve"> 2023)</w:t>
      </w:r>
      <w:r w:rsidR="001C5418">
        <w:rPr>
          <w:rFonts w:ascii="Times New Roman" w:hAnsi="Times New Roman" w:cs="Times New Roman"/>
        </w:rPr>
        <w:t>.</w:t>
      </w:r>
      <w:r w:rsidR="00971E0A" w:rsidRPr="00CD2F11">
        <w:rPr>
          <w:rFonts w:ascii="Times New Roman" w:hAnsi="Times New Roman" w:cs="Times New Roman"/>
        </w:rPr>
        <w:t xml:space="preserve"> But, after </w:t>
      </w:r>
      <w:r w:rsidR="00414FC3" w:rsidRPr="00CD2F11">
        <w:rPr>
          <w:rFonts w:ascii="Times New Roman" w:hAnsi="Times New Roman" w:cs="Times New Roman"/>
        </w:rPr>
        <w:t>careful examination, no</w:t>
      </w:r>
      <w:r w:rsidR="005B30F1" w:rsidRPr="00CD2F11">
        <w:rPr>
          <w:rFonts w:ascii="Times New Roman" w:hAnsi="Times New Roman" w:cs="Times New Roman"/>
        </w:rPr>
        <w:t xml:space="preserve"> such provision </w:t>
      </w:r>
      <w:r w:rsidR="00ED6B12" w:rsidRPr="00CD2F11">
        <w:rPr>
          <w:rFonts w:ascii="Times New Roman" w:hAnsi="Times New Roman" w:cs="Times New Roman"/>
        </w:rPr>
        <w:t>w</w:t>
      </w:r>
      <w:r w:rsidR="005B30F1" w:rsidRPr="00CD2F11">
        <w:rPr>
          <w:rFonts w:ascii="Times New Roman" w:hAnsi="Times New Roman" w:cs="Times New Roman"/>
        </w:rPr>
        <w:t>as</w:t>
      </w:r>
      <w:r w:rsidR="00ED6B12" w:rsidRPr="00CD2F11">
        <w:rPr>
          <w:rFonts w:ascii="Times New Roman" w:hAnsi="Times New Roman" w:cs="Times New Roman"/>
        </w:rPr>
        <w:t xml:space="preserve"> found</w:t>
      </w:r>
      <w:r w:rsidR="002D3EB7" w:rsidRPr="00CD2F11">
        <w:rPr>
          <w:rFonts w:ascii="Times New Roman" w:hAnsi="Times New Roman" w:cs="Times New Roman"/>
        </w:rPr>
        <w:t xml:space="preserve"> in the Income Tax Law </w:t>
      </w:r>
      <w:r w:rsidR="00765E41">
        <w:rPr>
          <w:rFonts w:ascii="Times New Roman" w:hAnsi="Times New Roman" w:cs="Times New Roman"/>
        </w:rPr>
        <w:t xml:space="preserve">or </w:t>
      </w:r>
      <w:r w:rsidR="001A7B05">
        <w:rPr>
          <w:rFonts w:ascii="Times New Roman" w:hAnsi="Times New Roman" w:cs="Times New Roman"/>
        </w:rPr>
        <w:t xml:space="preserve">in </w:t>
      </w:r>
      <w:r w:rsidR="00765E41">
        <w:rPr>
          <w:rFonts w:ascii="Times New Roman" w:hAnsi="Times New Roman" w:cs="Times New Roman"/>
        </w:rPr>
        <w:t>the provisions for</w:t>
      </w:r>
      <w:r w:rsidR="002D3EB7" w:rsidRPr="00CD2F11">
        <w:rPr>
          <w:rFonts w:ascii="Times New Roman" w:hAnsi="Times New Roman" w:cs="Times New Roman"/>
        </w:rPr>
        <w:t xml:space="preserve"> Corporate Income Tax</w:t>
      </w:r>
      <w:r w:rsidR="00ED6B12" w:rsidRPr="00CD2F11">
        <w:rPr>
          <w:rFonts w:ascii="Times New Roman" w:hAnsi="Times New Roman" w:cs="Times New Roman"/>
        </w:rPr>
        <w:t xml:space="preserve">. </w:t>
      </w:r>
      <w:r w:rsidR="00902AD2" w:rsidRPr="00CD2F11">
        <w:rPr>
          <w:rFonts w:ascii="Times New Roman" w:hAnsi="Times New Roman" w:cs="Times New Roman"/>
        </w:rPr>
        <w:t>Introducing such deductions</w:t>
      </w:r>
      <w:r w:rsidR="00180657">
        <w:rPr>
          <w:rFonts w:ascii="Times New Roman" w:hAnsi="Times New Roman" w:cs="Times New Roman"/>
        </w:rPr>
        <w:t xml:space="preserve"> or considering a</w:t>
      </w:r>
      <w:r w:rsidR="00607D95">
        <w:rPr>
          <w:rFonts w:ascii="Times New Roman" w:hAnsi="Times New Roman" w:cs="Times New Roman"/>
        </w:rPr>
        <w:t>n individual taxation system</w:t>
      </w:r>
      <w:r w:rsidR="004436FB" w:rsidRPr="00CD2F11">
        <w:rPr>
          <w:rFonts w:ascii="Times New Roman" w:hAnsi="Times New Roman" w:cs="Times New Roman"/>
        </w:rPr>
        <w:t xml:space="preserve"> </w:t>
      </w:r>
      <w:r w:rsidR="00241E94">
        <w:rPr>
          <w:rFonts w:ascii="Times New Roman" w:hAnsi="Times New Roman" w:cs="Times New Roman"/>
        </w:rPr>
        <w:t xml:space="preserve">has the potential </w:t>
      </w:r>
      <w:r w:rsidR="001C5418">
        <w:rPr>
          <w:rFonts w:ascii="Times New Roman" w:hAnsi="Times New Roman" w:cs="Times New Roman"/>
        </w:rPr>
        <w:t>to</w:t>
      </w:r>
      <w:r w:rsidR="00241E94">
        <w:rPr>
          <w:rFonts w:ascii="Times New Roman" w:hAnsi="Times New Roman" w:cs="Times New Roman"/>
        </w:rPr>
        <w:t xml:space="preserve"> promot</w:t>
      </w:r>
      <w:r w:rsidR="001C5418">
        <w:rPr>
          <w:rFonts w:ascii="Times New Roman" w:hAnsi="Times New Roman" w:cs="Times New Roman"/>
        </w:rPr>
        <w:t>e</w:t>
      </w:r>
      <w:r w:rsidR="004436FB" w:rsidRPr="00CD2F11">
        <w:rPr>
          <w:rFonts w:ascii="Times New Roman" w:hAnsi="Times New Roman" w:cs="Times New Roman"/>
        </w:rPr>
        <w:t xml:space="preserve"> employment, support</w:t>
      </w:r>
      <w:r w:rsidR="00902AD2" w:rsidRPr="00CD2F11">
        <w:rPr>
          <w:rFonts w:ascii="Times New Roman" w:hAnsi="Times New Roman" w:cs="Times New Roman"/>
        </w:rPr>
        <w:t xml:space="preserve"> </w:t>
      </w:r>
      <w:r w:rsidR="004436FB" w:rsidRPr="00CD2F11">
        <w:rPr>
          <w:rFonts w:ascii="Times New Roman" w:hAnsi="Times New Roman" w:cs="Times New Roman"/>
        </w:rPr>
        <w:t xml:space="preserve">families, and </w:t>
      </w:r>
      <w:r w:rsidR="004436FB" w:rsidRPr="001F7AA9">
        <w:rPr>
          <w:rFonts w:ascii="Times New Roman" w:hAnsi="Times New Roman" w:cs="Times New Roman"/>
        </w:rPr>
        <w:t>enhanc</w:t>
      </w:r>
      <w:r w:rsidR="00902AD2" w:rsidRPr="001F7AA9">
        <w:rPr>
          <w:rFonts w:ascii="Times New Roman" w:hAnsi="Times New Roman" w:cs="Times New Roman"/>
        </w:rPr>
        <w:t xml:space="preserve">e </w:t>
      </w:r>
      <w:r w:rsidR="004436FB" w:rsidRPr="001F7AA9">
        <w:rPr>
          <w:rFonts w:ascii="Times New Roman" w:hAnsi="Times New Roman" w:cs="Times New Roman"/>
        </w:rPr>
        <w:t>the quality and accessibility of care services.</w:t>
      </w:r>
      <w:r w:rsidR="00695D6A" w:rsidRPr="001F7AA9">
        <w:rPr>
          <w:rFonts w:ascii="Times New Roman" w:hAnsi="Times New Roman" w:cs="Times New Roman"/>
        </w:rPr>
        <w:t xml:space="preserve"> </w:t>
      </w:r>
    </w:p>
    <w:p w14:paraId="01EAD58E" w14:textId="77777777" w:rsidR="00577B2E" w:rsidRPr="001F7AA9" w:rsidRDefault="00577B2E" w:rsidP="001029F6">
      <w:pPr>
        <w:jc w:val="both"/>
        <w:rPr>
          <w:rFonts w:ascii="Times New Roman" w:hAnsi="Times New Roman" w:cs="Times New Roman"/>
        </w:rPr>
      </w:pPr>
    </w:p>
    <w:p w14:paraId="201B7D49" w14:textId="2ADACAA1" w:rsidR="005819FE" w:rsidRPr="00C73CF8" w:rsidRDefault="00355429" w:rsidP="007C033A">
      <w:pPr>
        <w:pStyle w:val="ListParagraph"/>
        <w:spacing w:after="120" w:line="240" w:lineRule="auto"/>
        <w:ind w:left="1080"/>
        <w:rPr>
          <w:rFonts w:ascii="Times New Roman" w:eastAsia="Times New Roman" w:hAnsi="Times New Roman" w:cs="Times New Roman"/>
          <w:b/>
          <w:bCs/>
          <w:sz w:val="24"/>
          <w:szCs w:val="24"/>
        </w:rPr>
      </w:pPr>
      <w:r>
        <w:rPr>
          <w:rFonts w:ascii="Times New Roman" w:eastAsia="Times New Roman" w:hAnsi="Times New Roman" w:cs="Times New Roman"/>
          <w:b/>
          <w:bCs/>
        </w:rPr>
        <w:t xml:space="preserve">c. </w:t>
      </w:r>
      <w:r w:rsidR="00A97D38" w:rsidRPr="00C73CF8">
        <w:rPr>
          <w:rFonts w:ascii="Times New Roman" w:eastAsia="Times New Roman" w:hAnsi="Times New Roman" w:cs="Times New Roman"/>
          <w:b/>
          <w:bCs/>
          <w:sz w:val="24"/>
          <w:szCs w:val="24"/>
        </w:rPr>
        <w:t>Assets</w:t>
      </w:r>
      <w:r w:rsidR="00684ADC" w:rsidRPr="00C73CF8">
        <w:rPr>
          <w:rFonts w:ascii="Times New Roman" w:eastAsia="Times New Roman" w:hAnsi="Times New Roman" w:cs="Times New Roman"/>
          <w:b/>
          <w:bCs/>
          <w:sz w:val="24"/>
          <w:szCs w:val="24"/>
        </w:rPr>
        <w:t xml:space="preserve"> ownership </w:t>
      </w:r>
      <w:r w:rsidR="007471CC" w:rsidRPr="00C73CF8">
        <w:rPr>
          <w:rFonts w:ascii="Times New Roman" w:eastAsia="Times New Roman" w:hAnsi="Times New Roman" w:cs="Times New Roman"/>
          <w:b/>
          <w:bCs/>
          <w:sz w:val="24"/>
          <w:szCs w:val="24"/>
        </w:rPr>
        <w:t xml:space="preserve">through </w:t>
      </w:r>
      <w:r w:rsidR="004E045B" w:rsidRPr="00C73CF8">
        <w:rPr>
          <w:rFonts w:ascii="Times New Roman" w:eastAsia="Times New Roman" w:hAnsi="Times New Roman" w:cs="Times New Roman"/>
          <w:b/>
          <w:bCs/>
          <w:sz w:val="24"/>
          <w:szCs w:val="24"/>
        </w:rPr>
        <w:t>i</w:t>
      </w:r>
      <w:r w:rsidR="00A97D38" w:rsidRPr="00C73CF8">
        <w:rPr>
          <w:rFonts w:ascii="Times New Roman" w:eastAsia="Times New Roman" w:hAnsi="Times New Roman" w:cs="Times New Roman"/>
          <w:b/>
          <w:bCs/>
          <w:sz w:val="24"/>
          <w:szCs w:val="24"/>
        </w:rPr>
        <w:t>nheritanc</w:t>
      </w:r>
      <w:r w:rsidR="004E045B" w:rsidRPr="00C73CF8">
        <w:rPr>
          <w:rFonts w:ascii="Times New Roman" w:eastAsia="Times New Roman" w:hAnsi="Times New Roman" w:cs="Times New Roman"/>
          <w:b/>
          <w:bCs/>
          <w:sz w:val="24"/>
          <w:szCs w:val="24"/>
        </w:rPr>
        <w:t>e</w:t>
      </w:r>
    </w:p>
    <w:p w14:paraId="32798211" w14:textId="30D45C1E" w:rsidR="005819FE" w:rsidRPr="004E045B" w:rsidRDefault="001A7B05" w:rsidP="004E045B">
      <w:pPr>
        <w:jc w:val="both"/>
        <w:rPr>
          <w:rFonts w:ascii="Times New Roman" w:hAnsi="Times New Roman" w:cs="Times New Roman"/>
        </w:rPr>
      </w:pPr>
      <w:r>
        <w:rPr>
          <w:rFonts w:ascii="Times New Roman" w:hAnsi="Times New Roman" w:cs="Times New Roman"/>
          <w:b/>
          <w:bCs/>
        </w:rPr>
        <w:lastRenderedPageBreak/>
        <w:t xml:space="preserve">The ability of </w:t>
      </w:r>
      <w:r w:rsidR="007F09F7" w:rsidRPr="001F7AA9">
        <w:rPr>
          <w:rFonts w:ascii="Times New Roman" w:hAnsi="Times New Roman" w:cs="Times New Roman"/>
          <w:b/>
          <w:bCs/>
        </w:rPr>
        <w:t xml:space="preserve">Indonesian women to inherit assets is determined by the country’s </w:t>
      </w:r>
      <w:r w:rsidR="001A1ABD" w:rsidRPr="001F7AA9">
        <w:rPr>
          <w:rFonts w:ascii="Times New Roman" w:hAnsi="Times New Roman" w:cs="Times New Roman"/>
          <w:b/>
          <w:bCs/>
        </w:rPr>
        <w:t>Islamic</w:t>
      </w:r>
      <w:r w:rsidR="007F09F7" w:rsidRPr="001F7AA9">
        <w:rPr>
          <w:rFonts w:ascii="Times New Roman" w:hAnsi="Times New Roman" w:cs="Times New Roman"/>
          <w:b/>
          <w:bCs/>
        </w:rPr>
        <w:t xml:space="preserve"> laws</w:t>
      </w:r>
      <w:r w:rsidR="006C3BC5">
        <w:rPr>
          <w:rFonts w:ascii="Times New Roman" w:hAnsi="Times New Roman" w:cs="Times New Roman"/>
          <w:b/>
          <w:bCs/>
        </w:rPr>
        <w:t>, which</w:t>
      </w:r>
      <w:r w:rsidR="007F09F7" w:rsidRPr="001F7AA9">
        <w:rPr>
          <w:rFonts w:ascii="Times New Roman" w:hAnsi="Times New Roman" w:cs="Times New Roman"/>
          <w:b/>
          <w:bCs/>
        </w:rPr>
        <w:t xml:space="preserve"> provide more inheritance rights to men. </w:t>
      </w:r>
      <w:r w:rsidR="005819FE" w:rsidRPr="001F7AA9">
        <w:rPr>
          <w:rFonts w:ascii="Times New Roman" w:hAnsi="Times New Roman" w:cs="Times New Roman"/>
        </w:rPr>
        <w:t>According to Article 176 of the Compilation of Islamic Laws in Indonesia, a woman's right to inherit is limited in families that have both female and male children.</w:t>
      </w:r>
      <w:r w:rsidR="006B1372" w:rsidRPr="006B1372">
        <w:rPr>
          <w:rFonts w:ascii="Times New Roman" w:hAnsi="Times New Roman" w:cs="Times New Roman"/>
        </w:rPr>
        <w:t xml:space="preserve"> According to this article, assets are divided between male and female beneficiaries at a ratio of 2:1. This means that heir</w:t>
      </w:r>
      <w:r w:rsidR="008C6302">
        <w:rPr>
          <w:rFonts w:ascii="Times New Roman" w:hAnsi="Times New Roman" w:cs="Times New Roman"/>
        </w:rPr>
        <w:t>ess</w:t>
      </w:r>
      <w:r w:rsidR="00885976">
        <w:rPr>
          <w:rFonts w:ascii="Times New Roman" w:hAnsi="Times New Roman" w:cs="Times New Roman"/>
        </w:rPr>
        <w:t>e</w:t>
      </w:r>
      <w:r w:rsidR="006B1372" w:rsidRPr="006B1372">
        <w:rPr>
          <w:rFonts w:ascii="Times New Roman" w:hAnsi="Times New Roman" w:cs="Times New Roman"/>
        </w:rPr>
        <w:t xml:space="preserve">s may receive a smaller share of the inheritance </w:t>
      </w:r>
      <w:r w:rsidR="00765E41">
        <w:rPr>
          <w:rFonts w:ascii="Times New Roman" w:hAnsi="Times New Roman" w:cs="Times New Roman"/>
        </w:rPr>
        <w:t>than</w:t>
      </w:r>
      <w:r w:rsidR="006B1372" w:rsidRPr="006B1372">
        <w:rPr>
          <w:rFonts w:ascii="Times New Roman" w:hAnsi="Times New Roman" w:cs="Times New Roman"/>
        </w:rPr>
        <w:t xml:space="preserve"> their male counterparts. While Article 183 allows inherited parties to agree on the distribution of property, the default provision of a 2:1 ratio can result in unequal inheritance for women</w:t>
      </w:r>
      <w:r w:rsidR="001C5418">
        <w:rPr>
          <w:rFonts w:ascii="Times New Roman" w:hAnsi="Times New Roman" w:cs="Times New Roman"/>
        </w:rPr>
        <w:t xml:space="preserve">. </w:t>
      </w:r>
      <w:r w:rsidR="005819FE" w:rsidRPr="00CD2F11">
        <w:rPr>
          <w:rFonts w:ascii="Times New Roman" w:hAnsi="Times New Roman" w:cs="Times New Roman"/>
        </w:rPr>
        <w:t xml:space="preserve"> </w:t>
      </w:r>
      <w:r w:rsidR="00331D3F">
        <w:rPr>
          <w:rFonts w:ascii="Times New Roman" w:hAnsi="Times New Roman" w:cs="Times New Roman"/>
        </w:rPr>
        <w:t xml:space="preserve">It is important to note however that this is an evolving issue on which discussion of potential reforms are underway. </w:t>
      </w:r>
    </w:p>
    <w:p w14:paraId="5BB59B5D" w14:textId="08EE6BFD" w:rsidR="005819FE" w:rsidRDefault="00852132" w:rsidP="004E045B">
      <w:pPr>
        <w:jc w:val="both"/>
        <w:rPr>
          <w:rFonts w:ascii="Times New Roman" w:hAnsi="Times New Roman" w:cs="Times New Roman"/>
        </w:rPr>
      </w:pPr>
      <w:r w:rsidRPr="00CD2F11">
        <w:rPr>
          <w:rFonts w:ascii="Times New Roman" w:hAnsi="Times New Roman" w:cs="Times New Roman"/>
          <w:b/>
          <w:bCs/>
        </w:rPr>
        <w:t>These laws reinforce t</w:t>
      </w:r>
      <w:r w:rsidR="005819FE" w:rsidRPr="00CD2F11">
        <w:rPr>
          <w:rFonts w:ascii="Times New Roman" w:hAnsi="Times New Roman" w:cs="Times New Roman"/>
          <w:b/>
          <w:bCs/>
        </w:rPr>
        <w:t>raditional gender roles and dynamics within households</w:t>
      </w:r>
      <w:r w:rsidRPr="00CD2F11">
        <w:rPr>
          <w:rFonts w:ascii="Times New Roman" w:hAnsi="Times New Roman" w:cs="Times New Roman"/>
          <w:b/>
          <w:bCs/>
        </w:rPr>
        <w:t xml:space="preserve">. </w:t>
      </w:r>
      <w:r w:rsidR="005819FE" w:rsidRPr="00CD2F11">
        <w:rPr>
          <w:rFonts w:ascii="Times New Roman" w:hAnsi="Times New Roman" w:cs="Times New Roman"/>
        </w:rPr>
        <w:t xml:space="preserve">Men are typically considered the head of the household and tend to own key assets, such as </w:t>
      </w:r>
      <w:r w:rsidR="00C73CF8">
        <w:rPr>
          <w:rFonts w:ascii="Times New Roman" w:hAnsi="Times New Roman" w:cs="Times New Roman"/>
        </w:rPr>
        <w:t>the family ho</w:t>
      </w:r>
      <w:r w:rsidR="000B486C">
        <w:rPr>
          <w:rFonts w:ascii="Times New Roman" w:hAnsi="Times New Roman" w:cs="Times New Roman"/>
        </w:rPr>
        <w:t>m</w:t>
      </w:r>
      <w:r w:rsidR="00C73CF8">
        <w:rPr>
          <w:rFonts w:ascii="Times New Roman" w:hAnsi="Times New Roman" w:cs="Times New Roman"/>
        </w:rPr>
        <w:t>e</w:t>
      </w:r>
      <w:r w:rsidR="005819FE" w:rsidRPr="00CD2F11">
        <w:rPr>
          <w:rFonts w:ascii="Times New Roman" w:hAnsi="Times New Roman" w:cs="Times New Roman"/>
        </w:rPr>
        <w:t xml:space="preserve">, while women are often seen as </w:t>
      </w:r>
      <w:r w:rsidR="005572E6">
        <w:rPr>
          <w:rFonts w:ascii="Times New Roman" w:hAnsi="Times New Roman" w:cs="Times New Roman"/>
        </w:rPr>
        <w:t>their husbands</w:t>
      </w:r>
      <w:r w:rsidR="001A7B05">
        <w:rPr>
          <w:rFonts w:ascii="Times New Roman" w:hAnsi="Times New Roman" w:cs="Times New Roman"/>
        </w:rPr>
        <w:t>’</w:t>
      </w:r>
      <w:r w:rsidR="005572E6">
        <w:rPr>
          <w:rFonts w:ascii="Times New Roman" w:hAnsi="Times New Roman" w:cs="Times New Roman"/>
        </w:rPr>
        <w:t xml:space="preserve"> helpers</w:t>
      </w:r>
      <w:r w:rsidR="00543DC9" w:rsidRPr="00CD2F11">
        <w:rPr>
          <w:rFonts w:ascii="Times New Roman" w:hAnsi="Times New Roman" w:cs="Times New Roman"/>
        </w:rPr>
        <w:t xml:space="preserve">. </w:t>
      </w:r>
      <w:r w:rsidR="005819FE" w:rsidRPr="00BF5491">
        <w:rPr>
          <w:rFonts w:ascii="Times New Roman" w:hAnsi="Times New Roman" w:cs="Times New Roman"/>
        </w:rPr>
        <w:t>Th</w:t>
      </w:r>
      <w:r w:rsidR="00BF5491">
        <w:rPr>
          <w:rFonts w:ascii="Times New Roman" w:hAnsi="Times New Roman" w:cs="Times New Roman"/>
        </w:rPr>
        <w:t>e</w:t>
      </w:r>
      <w:r w:rsidR="005819FE" w:rsidRPr="00BF5491">
        <w:rPr>
          <w:rFonts w:ascii="Times New Roman" w:hAnsi="Times New Roman" w:cs="Times New Roman"/>
        </w:rPr>
        <w:t xml:space="preserve"> </w:t>
      </w:r>
      <w:r w:rsidR="00543DC9" w:rsidRPr="00BF5491">
        <w:rPr>
          <w:rFonts w:ascii="Times New Roman" w:hAnsi="Times New Roman" w:cs="Times New Roman"/>
        </w:rPr>
        <w:t>limited</w:t>
      </w:r>
      <w:r w:rsidR="005819FE" w:rsidRPr="00BF5491">
        <w:rPr>
          <w:rFonts w:ascii="Times New Roman" w:hAnsi="Times New Roman" w:cs="Times New Roman"/>
        </w:rPr>
        <w:t xml:space="preserve"> ownership</w:t>
      </w:r>
      <w:r w:rsidR="00543DC9" w:rsidRPr="00BF5491">
        <w:rPr>
          <w:rFonts w:ascii="Times New Roman" w:hAnsi="Times New Roman" w:cs="Times New Roman"/>
        </w:rPr>
        <w:t xml:space="preserve"> of property</w:t>
      </w:r>
      <w:r w:rsidR="005819FE" w:rsidRPr="00BF5491">
        <w:rPr>
          <w:rFonts w:ascii="Times New Roman" w:hAnsi="Times New Roman" w:cs="Times New Roman"/>
        </w:rPr>
        <w:t xml:space="preserve"> and inheritance rights </w:t>
      </w:r>
      <w:r w:rsidR="005572E6" w:rsidRPr="00BF5491">
        <w:rPr>
          <w:rFonts w:ascii="Times New Roman" w:hAnsi="Times New Roman" w:cs="Times New Roman"/>
        </w:rPr>
        <w:t>contribute</w:t>
      </w:r>
      <w:r w:rsidR="00FB70BB">
        <w:rPr>
          <w:rFonts w:ascii="Times New Roman" w:hAnsi="Times New Roman" w:cs="Times New Roman"/>
        </w:rPr>
        <w:t>s</w:t>
      </w:r>
      <w:r w:rsidR="005572E6" w:rsidRPr="00BF5491">
        <w:rPr>
          <w:rFonts w:ascii="Times New Roman" w:hAnsi="Times New Roman" w:cs="Times New Roman"/>
        </w:rPr>
        <w:t xml:space="preserve"> </w:t>
      </w:r>
      <w:r w:rsidR="005819FE" w:rsidRPr="00BF5491">
        <w:rPr>
          <w:rFonts w:ascii="Times New Roman" w:hAnsi="Times New Roman" w:cs="Times New Roman"/>
        </w:rPr>
        <w:t>to</w:t>
      </w:r>
      <w:r w:rsidR="00FB70BB">
        <w:rPr>
          <w:rFonts w:ascii="Times New Roman" w:hAnsi="Times New Roman" w:cs="Times New Roman"/>
        </w:rPr>
        <w:t>ward</w:t>
      </w:r>
      <w:r w:rsidR="005819FE" w:rsidRPr="00BF5491">
        <w:rPr>
          <w:rFonts w:ascii="Times New Roman" w:hAnsi="Times New Roman" w:cs="Times New Roman"/>
        </w:rPr>
        <w:t xml:space="preserve"> the reluctance of women entrepreneurs to apply for bank loans</w:t>
      </w:r>
      <w:r w:rsidR="00F32B24" w:rsidRPr="00BF5491">
        <w:rPr>
          <w:rFonts w:ascii="Times New Roman" w:hAnsi="Times New Roman" w:cs="Times New Roman"/>
        </w:rPr>
        <w:t xml:space="preserve"> and reduce</w:t>
      </w:r>
      <w:r w:rsidR="00FB70BB">
        <w:rPr>
          <w:rFonts w:ascii="Times New Roman" w:hAnsi="Times New Roman" w:cs="Times New Roman"/>
        </w:rPr>
        <w:t>s</w:t>
      </w:r>
      <w:r w:rsidR="00F32B24" w:rsidRPr="00BF5491">
        <w:rPr>
          <w:rFonts w:ascii="Times New Roman" w:hAnsi="Times New Roman" w:cs="Times New Roman"/>
        </w:rPr>
        <w:t xml:space="preserve"> their bargaining power within the household</w:t>
      </w:r>
      <w:r w:rsidR="005819FE" w:rsidRPr="00BF5491">
        <w:rPr>
          <w:rFonts w:ascii="Times New Roman" w:hAnsi="Times New Roman" w:cs="Times New Roman"/>
        </w:rPr>
        <w:t>. Without sufficient collateral, they face challenges in meeting the requirements set by financial institutions, hindering their access to capital and opportunities</w:t>
      </w:r>
      <w:r w:rsidR="0017125A" w:rsidRPr="00BF5491">
        <w:rPr>
          <w:rFonts w:ascii="Times New Roman" w:hAnsi="Times New Roman" w:cs="Times New Roman"/>
        </w:rPr>
        <w:t xml:space="preserve"> to start or grow their</w:t>
      </w:r>
      <w:r w:rsidR="005819FE" w:rsidRPr="00BF5491">
        <w:rPr>
          <w:rFonts w:ascii="Times New Roman" w:hAnsi="Times New Roman" w:cs="Times New Roman"/>
        </w:rPr>
        <w:t xml:space="preserve"> business.</w:t>
      </w:r>
      <w:r w:rsidR="0017125A" w:rsidRPr="00BF5491">
        <w:rPr>
          <w:rFonts w:ascii="Times New Roman" w:hAnsi="Times New Roman" w:cs="Times New Roman"/>
        </w:rPr>
        <w:t xml:space="preserve"> </w:t>
      </w:r>
      <w:r w:rsidR="005819FE" w:rsidRPr="00BF5491">
        <w:rPr>
          <w:rFonts w:ascii="Times New Roman" w:hAnsi="Times New Roman" w:cs="Times New Roman"/>
        </w:rPr>
        <w:t>Addressing this issue requires a comprehensive approach that involves legal reforms to ensure equal inheritance rights for women</w:t>
      </w:r>
      <w:r w:rsidR="003D6048" w:rsidRPr="00BF5491">
        <w:rPr>
          <w:rFonts w:ascii="Times New Roman" w:hAnsi="Times New Roman" w:cs="Times New Roman"/>
        </w:rPr>
        <w:t xml:space="preserve"> and </w:t>
      </w:r>
      <w:r w:rsidR="005A6304" w:rsidRPr="00BF5491">
        <w:rPr>
          <w:rFonts w:ascii="Times New Roman" w:hAnsi="Times New Roman" w:cs="Times New Roman"/>
        </w:rPr>
        <w:t>facilitates women’s ownership of property through housing finance mechanisms</w:t>
      </w:r>
      <w:r w:rsidR="005819FE" w:rsidRPr="00BF5491">
        <w:rPr>
          <w:rFonts w:ascii="Times New Roman" w:hAnsi="Times New Roman" w:cs="Times New Roman"/>
        </w:rPr>
        <w:t>.</w:t>
      </w:r>
    </w:p>
    <w:p w14:paraId="33F78CA6" w14:textId="77777777" w:rsidR="00577B2E" w:rsidRPr="004E045B" w:rsidRDefault="00577B2E" w:rsidP="004E045B">
      <w:pPr>
        <w:jc w:val="both"/>
        <w:rPr>
          <w:rFonts w:ascii="Times New Roman" w:hAnsi="Times New Roman" w:cs="Times New Roman"/>
        </w:rPr>
      </w:pPr>
    </w:p>
    <w:p w14:paraId="1DE20066" w14:textId="1BE66AF2" w:rsidR="000116D3" w:rsidRPr="000B486C" w:rsidRDefault="000116D3" w:rsidP="004E045B">
      <w:pPr>
        <w:pStyle w:val="ListParagraph"/>
        <w:numPr>
          <w:ilvl w:val="0"/>
          <w:numId w:val="4"/>
        </w:numPr>
        <w:spacing w:after="120" w:line="240" w:lineRule="auto"/>
        <w:rPr>
          <w:rFonts w:ascii="Times New Roman" w:eastAsia="Times New Roman" w:hAnsi="Times New Roman" w:cs="Times New Roman"/>
          <w:b/>
          <w:bCs/>
          <w:color w:val="4472C4" w:themeColor="accent1"/>
          <w:sz w:val="28"/>
          <w:szCs w:val="28"/>
        </w:rPr>
      </w:pPr>
      <w:r w:rsidRPr="000B486C">
        <w:rPr>
          <w:rFonts w:ascii="Times New Roman" w:eastAsia="Times New Roman" w:hAnsi="Times New Roman" w:cs="Times New Roman"/>
          <w:b/>
          <w:bCs/>
          <w:sz w:val="28"/>
          <w:szCs w:val="28"/>
        </w:rPr>
        <w:t xml:space="preserve"> </w:t>
      </w:r>
      <w:r w:rsidR="00A97D38" w:rsidRPr="000B486C">
        <w:rPr>
          <w:rFonts w:ascii="Times New Roman" w:eastAsia="Times New Roman" w:hAnsi="Times New Roman" w:cs="Times New Roman"/>
          <w:b/>
          <w:bCs/>
          <w:sz w:val="28"/>
          <w:szCs w:val="28"/>
        </w:rPr>
        <w:t xml:space="preserve"> </w:t>
      </w:r>
      <w:r w:rsidR="003B6F29" w:rsidRPr="000B486C">
        <w:rPr>
          <w:rFonts w:ascii="Times New Roman" w:eastAsia="Times New Roman" w:hAnsi="Times New Roman" w:cs="Times New Roman"/>
          <w:b/>
          <w:bCs/>
          <w:color w:val="4472C4" w:themeColor="accent1"/>
          <w:sz w:val="28"/>
          <w:szCs w:val="28"/>
        </w:rPr>
        <w:t xml:space="preserve">Recommendations to address the regulatory challenges </w:t>
      </w:r>
      <w:r w:rsidRPr="000B486C">
        <w:rPr>
          <w:rFonts w:ascii="Times New Roman" w:eastAsia="Times New Roman" w:hAnsi="Times New Roman" w:cs="Times New Roman"/>
          <w:b/>
          <w:bCs/>
          <w:color w:val="4472C4" w:themeColor="accent1"/>
          <w:sz w:val="28"/>
          <w:szCs w:val="28"/>
        </w:rPr>
        <w:t xml:space="preserve">in </w:t>
      </w:r>
      <w:r w:rsidR="00A61960" w:rsidRPr="000B486C">
        <w:rPr>
          <w:rFonts w:ascii="Times New Roman" w:eastAsia="Times New Roman" w:hAnsi="Times New Roman" w:cs="Times New Roman"/>
          <w:b/>
          <w:bCs/>
          <w:color w:val="4472C4" w:themeColor="accent1"/>
          <w:sz w:val="28"/>
          <w:szCs w:val="28"/>
        </w:rPr>
        <w:t>Indonesia</w:t>
      </w:r>
      <w:r w:rsidRPr="000B486C">
        <w:rPr>
          <w:rFonts w:ascii="Times New Roman" w:eastAsia="Times New Roman" w:hAnsi="Times New Roman" w:cs="Times New Roman"/>
          <w:b/>
          <w:bCs/>
          <w:color w:val="4472C4" w:themeColor="accent1"/>
          <w:sz w:val="28"/>
          <w:szCs w:val="28"/>
        </w:rPr>
        <w:t xml:space="preserve"> </w:t>
      </w:r>
    </w:p>
    <w:p w14:paraId="62AAEFDC" w14:textId="77777777" w:rsidR="00D4218E" w:rsidRPr="000B486C" w:rsidRDefault="00D4218E" w:rsidP="00D4218E">
      <w:pPr>
        <w:pStyle w:val="paragraph"/>
        <w:numPr>
          <w:ilvl w:val="0"/>
          <w:numId w:val="15"/>
        </w:numPr>
        <w:spacing w:before="0" w:beforeAutospacing="0" w:after="0" w:afterAutospacing="0"/>
        <w:jc w:val="both"/>
        <w:textAlignment w:val="baseline"/>
        <w:rPr>
          <w:rStyle w:val="normaltextrun"/>
          <w:b/>
          <w:bCs/>
        </w:rPr>
      </w:pPr>
      <w:r w:rsidRPr="000B486C">
        <w:rPr>
          <w:rStyle w:val="normaltextrun"/>
          <w:b/>
          <w:bCs/>
        </w:rPr>
        <w:t xml:space="preserve">Labor Law </w:t>
      </w:r>
    </w:p>
    <w:p w14:paraId="420CEEEB" w14:textId="77777777" w:rsidR="000F252E" w:rsidRDefault="000F252E" w:rsidP="00D4218E">
      <w:pPr>
        <w:pStyle w:val="paragraph"/>
        <w:spacing w:before="0" w:beforeAutospacing="0" w:after="0" w:afterAutospacing="0"/>
        <w:jc w:val="both"/>
        <w:textAlignment w:val="baseline"/>
        <w:rPr>
          <w:rStyle w:val="normaltextrun"/>
          <w:sz w:val="22"/>
          <w:szCs w:val="22"/>
        </w:rPr>
      </w:pPr>
    </w:p>
    <w:p w14:paraId="51BC6C51" w14:textId="69B28875" w:rsidR="009836C1" w:rsidRDefault="009836C1" w:rsidP="00D4218E">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After conducting a </w:t>
      </w:r>
      <w:r w:rsidRPr="00C03343">
        <w:rPr>
          <w:rStyle w:val="normaltextrun"/>
          <w:sz w:val="22"/>
          <w:szCs w:val="22"/>
        </w:rPr>
        <w:t xml:space="preserve">study on the </w:t>
      </w:r>
      <w:r w:rsidRPr="000B486C">
        <w:rPr>
          <w:rStyle w:val="normaltextrun"/>
          <w:sz w:val="22"/>
          <w:szCs w:val="22"/>
        </w:rPr>
        <w:t>potential impacts of changing Labor Law regulations that may constrain women’s employment, revisions to improve overall Labor Law</w:t>
      </w:r>
      <w:r w:rsidRPr="00117609">
        <w:rPr>
          <w:rStyle w:val="normaltextrun"/>
          <w:sz w:val="22"/>
          <w:szCs w:val="22"/>
        </w:rPr>
        <w:t xml:space="preserve"> constraints</w:t>
      </w:r>
      <w:r>
        <w:rPr>
          <w:rStyle w:val="normaltextrun"/>
          <w:sz w:val="22"/>
          <w:szCs w:val="22"/>
        </w:rPr>
        <w:t xml:space="preserve"> could be considered. </w:t>
      </w:r>
      <w:r w:rsidRPr="00117609">
        <w:rPr>
          <w:rStyle w:val="normaltextrun"/>
          <w:sz w:val="22"/>
          <w:szCs w:val="22"/>
        </w:rPr>
        <w:t xml:space="preserve">Indonesia could </w:t>
      </w:r>
      <w:r w:rsidR="00FB70BB">
        <w:rPr>
          <w:rStyle w:val="normaltextrun"/>
          <w:sz w:val="22"/>
          <w:szCs w:val="22"/>
        </w:rPr>
        <w:t xml:space="preserve">then implement </w:t>
      </w:r>
      <w:r w:rsidRPr="00117609">
        <w:rPr>
          <w:rStyle w:val="normaltextrun"/>
          <w:sz w:val="22"/>
          <w:szCs w:val="22"/>
        </w:rPr>
        <w:t>measures to</w:t>
      </w:r>
      <w:r>
        <w:rPr>
          <w:rStyle w:val="normaltextrun"/>
          <w:sz w:val="22"/>
          <w:szCs w:val="22"/>
        </w:rPr>
        <w:t xml:space="preserve"> address </w:t>
      </w:r>
      <w:r w:rsidRPr="00117609">
        <w:rPr>
          <w:rStyle w:val="normaltextrun"/>
          <w:sz w:val="22"/>
          <w:szCs w:val="22"/>
        </w:rPr>
        <w:t xml:space="preserve">discrimination against women in the field of employment and </w:t>
      </w:r>
      <w:r>
        <w:rPr>
          <w:rStyle w:val="normaltextrun"/>
          <w:sz w:val="22"/>
          <w:szCs w:val="22"/>
        </w:rPr>
        <w:t xml:space="preserve">remove or mitigate some of the </w:t>
      </w:r>
      <w:r w:rsidRPr="00117609">
        <w:rPr>
          <w:rStyle w:val="normaltextrun"/>
          <w:sz w:val="22"/>
          <w:szCs w:val="22"/>
        </w:rPr>
        <w:t>obligations imposed on employers for employing women.</w:t>
      </w:r>
      <w:r>
        <w:rPr>
          <w:rStyle w:val="normaltextrun"/>
          <w:sz w:val="22"/>
          <w:szCs w:val="22"/>
        </w:rPr>
        <w:t xml:space="preserve"> The revisions could include: </w:t>
      </w:r>
    </w:p>
    <w:p w14:paraId="298DBDC5" w14:textId="77777777" w:rsidR="009836C1" w:rsidRDefault="009836C1" w:rsidP="00D4218E">
      <w:pPr>
        <w:pStyle w:val="paragraph"/>
        <w:spacing w:before="0" w:beforeAutospacing="0" w:after="0" w:afterAutospacing="0"/>
        <w:jc w:val="both"/>
        <w:textAlignment w:val="baseline"/>
        <w:rPr>
          <w:rStyle w:val="normaltextrun"/>
          <w:sz w:val="22"/>
          <w:szCs w:val="22"/>
        </w:rPr>
      </w:pPr>
    </w:p>
    <w:p w14:paraId="520E23E1" w14:textId="1C57A1E7" w:rsidR="000F252E" w:rsidRPr="00CD2F11" w:rsidRDefault="000F252E" w:rsidP="000F252E">
      <w:pPr>
        <w:pStyle w:val="paragraph"/>
        <w:numPr>
          <w:ilvl w:val="0"/>
          <w:numId w:val="33"/>
        </w:numPr>
        <w:spacing w:before="0" w:beforeAutospacing="0" w:after="0" w:afterAutospacing="0"/>
        <w:jc w:val="both"/>
        <w:textAlignment w:val="baseline"/>
        <w:rPr>
          <w:sz w:val="22"/>
          <w:szCs w:val="22"/>
        </w:rPr>
      </w:pPr>
      <w:r w:rsidRPr="000B486C">
        <w:rPr>
          <w:rStyle w:val="normaltextrun"/>
          <w:b/>
          <w:bCs/>
          <w:i/>
          <w:iCs/>
          <w:sz w:val="22"/>
          <w:szCs w:val="22"/>
        </w:rPr>
        <w:t>Childcare:</w:t>
      </w:r>
      <w:r>
        <w:rPr>
          <w:rStyle w:val="normaltextrun"/>
          <w:sz w:val="22"/>
          <w:szCs w:val="22"/>
        </w:rPr>
        <w:t xml:space="preserve"> T</w:t>
      </w:r>
      <w:r w:rsidRPr="00CD2F11">
        <w:rPr>
          <w:rStyle w:val="normaltextrun"/>
          <w:sz w:val="22"/>
          <w:szCs w:val="22"/>
        </w:rPr>
        <w:t xml:space="preserve">he </w:t>
      </w:r>
      <w:proofErr w:type="spellStart"/>
      <w:r>
        <w:rPr>
          <w:rStyle w:val="normaltextrun"/>
          <w:sz w:val="22"/>
          <w:szCs w:val="22"/>
        </w:rPr>
        <w:t>GoI</w:t>
      </w:r>
      <w:proofErr w:type="spellEnd"/>
      <w:r w:rsidRPr="00CD2F11">
        <w:rPr>
          <w:rStyle w:val="normaltextrun"/>
          <w:sz w:val="22"/>
          <w:szCs w:val="22"/>
        </w:rPr>
        <w:t xml:space="preserve"> can support the provision of </w:t>
      </w:r>
      <w:r>
        <w:rPr>
          <w:rStyle w:val="normaltextrun"/>
          <w:sz w:val="22"/>
          <w:szCs w:val="22"/>
        </w:rPr>
        <w:t xml:space="preserve">improved </w:t>
      </w:r>
      <w:r w:rsidRPr="00CD2F11">
        <w:rPr>
          <w:rStyle w:val="normaltextrun"/>
          <w:sz w:val="22"/>
          <w:szCs w:val="22"/>
        </w:rPr>
        <w:t xml:space="preserve">childcare services by </w:t>
      </w:r>
      <w:r>
        <w:rPr>
          <w:rStyle w:val="normaltextrun"/>
          <w:sz w:val="22"/>
          <w:szCs w:val="22"/>
        </w:rPr>
        <w:t>instigating regulations</w:t>
      </w:r>
      <w:r w:rsidRPr="00CD2F11">
        <w:rPr>
          <w:rStyle w:val="normaltextrun"/>
          <w:sz w:val="22"/>
          <w:szCs w:val="22"/>
        </w:rPr>
        <w:t xml:space="preserve"> </w:t>
      </w:r>
      <w:r>
        <w:rPr>
          <w:rStyle w:val="normaltextrun"/>
          <w:sz w:val="22"/>
          <w:szCs w:val="22"/>
        </w:rPr>
        <w:t xml:space="preserve">that are </w:t>
      </w:r>
      <w:r w:rsidRPr="00CD2F11">
        <w:rPr>
          <w:rStyle w:val="normaltextrun"/>
          <w:sz w:val="22"/>
          <w:szCs w:val="22"/>
        </w:rPr>
        <w:t xml:space="preserve">favorable to the establishment of the following childcare facilities through </w:t>
      </w:r>
      <w:r>
        <w:rPr>
          <w:rStyle w:val="normaltextrun"/>
          <w:sz w:val="22"/>
          <w:szCs w:val="22"/>
        </w:rPr>
        <w:t>PPP</w:t>
      </w:r>
      <w:r w:rsidRPr="00CD2F11">
        <w:rPr>
          <w:rStyle w:val="normaltextrun"/>
          <w:sz w:val="22"/>
          <w:szCs w:val="22"/>
        </w:rPr>
        <w:t>s:</w:t>
      </w:r>
      <w:r w:rsidRPr="00CD2F11">
        <w:rPr>
          <w:rStyle w:val="eop"/>
          <w:sz w:val="22"/>
          <w:szCs w:val="22"/>
        </w:rPr>
        <w:t> </w:t>
      </w:r>
    </w:p>
    <w:p w14:paraId="03834F2D" w14:textId="508D4A29" w:rsidR="000F252E" w:rsidRPr="00CD2F11" w:rsidRDefault="000F252E" w:rsidP="000F252E">
      <w:pPr>
        <w:pStyle w:val="paragraph"/>
        <w:numPr>
          <w:ilvl w:val="0"/>
          <w:numId w:val="12"/>
        </w:numPr>
        <w:spacing w:before="0" w:beforeAutospacing="0" w:after="0" w:afterAutospacing="0"/>
        <w:ind w:left="1080" w:firstLine="0"/>
        <w:jc w:val="both"/>
        <w:textAlignment w:val="baseline"/>
        <w:rPr>
          <w:sz w:val="22"/>
          <w:szCs w:val="22"/>
        </w:rPr>
      </w:pPr>
      <w:r w:rsidRPr="00CD2F11">
        <w:rPr>
          <w:rStyle w:val="normaltextrun"/>
          <w:b/>
          <w:bCs/>
          <w:sz w:val="22"/>
          <w:szCs w:val="22"/>
        </w:rPr>
        <w:t>On-site childcare</w:t>
      </w:r>
      <w:r w:rsidRPr="00CD2F11">
        <w:rPr>
          <w:rStyle w:val="normaltextrun"/>
          <w:sz w:val="22"/>
          <w:szCs w:val="22"/>
        </w:rPr>
        <w:t xml:space="preserve">: </w:t>
      </w:r>
      <w:r>
        <w:rPr>
          <w:rStyle w:val="normaltextrun"/>
          <w:sz w:val="22"/>
          <w:szCs w:val="22"/>
        </w:rPr>
        <w:t>A</w:t>
      </w:r>
      <w:r w:rsidRPr="00CD2F11">
        <w:rPr>
          <w:rStyle w:val="normaltextrun"/>
          <w:sz w:val="22"/>
          <w:szCs w:val="22"/>
        </w:rPr>
        <w:t xml:space="preserve"> childcare center established by </w:t>
      </w:r>
      <w:r>
        <w:rPr>
          <w:rStyle w:val="normaltextrun"/>
          <w:sz w:val="22"/>
          <w:szCs w:val="22"/>
        </w:rPr>
        <w:t>an</w:t>
      </w:r>
      <w:r w:rsidRPr="00CD2F11">
        <w:rPr>
          <w:rStyle w:val="normaltextrun"/>
          <w:sz w:val="22"/>
          <w:szCs w:val="22"/>
        </w:rPr>
        <w:t xml:space="preserve"> employer or an appointed third party on company premises.</w:t>
      </w:r>
      <w:r w:rsidRPr="00CD2F11">
        <w:rPr>
          <w:rStyle w:val="eop"/>
          <w:sz w:val="22"/>
          <w:szCs w:val="22"/>
        </w:rPr>
        <w:t> </w:t>
      </w:r>
    </w:p>
    <w:p w14:paraId="5F811C0E" w14:textId="3FA9E548" w:rsidR="000F252E" w:rsidRPr="00CD2F11" w:rsidRDefault="000F252E" w:rsidP="000F252E">
      <w:pPr>
        <w:pStyle w:val="paragraph"/>
        <w:numPr>
          <w:ilvl w:val="0"/>
          <w:numId w:val="12"/>
        </w:numPr>
        <w:spacing w:before="0" w:beforeAutospacing="0" w:after="0" w:afterAutospacing="0"/>
        <w:ind w:left="1080" w:firstLine="0"/>
        <w:jc w:val="both"/>
        <w:textAlignment w:val="baseline"/>
        <w:rPr>
          <w:sz w:val="22"/>
          <w:szCs w:val="22"/>
        </w:rPr>
      </w:pPr>
      <w:r w:rsidRPr="00CD2F11">
        <w:rPr>
          <w:rStyle w:val="normaltextrun"/>
          <w:b/>
          <w:bCs/>
          <w:sz w:val="22"/>
          <w:szCs w:val="22"/>
        </w:rPr>
        <w:t>Off-</w:t>
      </w:r>
      <w:r>
        <w:rPr>
          <w:rStyle w:val="normaltextrun"/>
          <w:b/>
          <w:bCs/>
          <w:sz w:val="22"/>
          <w:szCs w:val="22"/>
        </w:rPr>
        <w:t xml:space="preserve"> </w:t>
      </w:r>
      <w:r w:rsidRPr="00CD2F11">
        <w:rPr>
          <w:rStyle w:val="normaltextrun"/>
          <w:b/>
          <w:bCs/>
          <w:sz w:val="22"/>
          <w:szCs w:val="22"/>
        </w:rPr>
        <w:t>or</w:t>
      </w:r>
      <w:r>
        <w:rPr>
          <w:rStyle w:val="normaltextrun"/>
          <w:b/>
          <w:bCs/>
          <w:sz w:val="22"/>
          <w:szCs w:val="22"/>
        </w:rPr>
        <w:t xml:space="preserve"> </w:t>
      </w:r>
      <w:r w:rsidRPr="00CD2F11">
        <w:rPr>
          <w:rStyle w:val="normaltextrun"/>
          <w:b/>
          <w:bCs/>
          <w:sz w:val="22"/>
          <w:szCs w:val="22"/>
        </w:rPr>
        <w:t>near</w:t>
      </w:r>
      <w:r>
        <w:rPr>
          <w:rStyle w:val="normaltextrun"/>
          <w:b/>
          <w:bCs/>
          <w:sz w:val="22"/>
          <w:szCs w:val="22"/>
        </w:rPr>
        <w:t>-</w:t>
      </w:r>
      <w:r w:rsidRPr="00CD2F11">
        <w:rPr>
          <w:rStyle w:val="normaltextrun"/>
          <w:b/>
          <w:bCs/>
          <w:sz w:val="22"/>
          <w:szCs w:val="22"/>
        </w:rPr>
        <w:t>site childcare</w:t>
      </w:r>
      <w:r w:rsidRPr="000B486C">
        <w:rPr>
          <w:rStyle w:val="normaltextrun"/>
          <w:sz w:val="22"/>
          <w:szCs w:val="22"/>
        </w:rPr>
        <w:t>:</w:t>
      </w:r>
      <w:r w:rsidRPr="00CD2F11">
        <w:rPr>
          <w:rStyle w:val="normaltextrun"/>
          <w:sz w:val="22"/>
          <w:szCs w:val="22"/>
        </w:rPr>
        <w:t xml:space="preserve"> </w:t>
      </w:r>
      <w:r>
        <w:rPr>
          <w:rStyle w:val="normaltextrun"/>
          <w:sz w:val="22"/>
          <w:szCs w:val="22"/>
        </w:rPr>
        <w:t>A</w:t>
      </w:r>
      <w:r w:rsidRPr="00CD2F11">
        <w:rPr>
          <w:rStyle w:val="normaltextrun"/>
          <w:sz w:val="22"/>
          <w:szCs w:val="22"/>
        </w:rPr>
        <w:t xml:space="preserve"> childcare center established by </w:t>
      </w:r>
      <w:r>
        <w:rPr>
          <w:rStyle w:val="normaltextrun"/>
          <w:sz w:val="22"/>
          <w:szCs w:val="22"/>
        </w:rPr>
        <w:t>an</w:t>
      </w:r>
      <w:r w:rsidRPr="00CD2F11">
        <w:rPr>
          <w:rStyle w:val="normaltextrun"/>
          <w:sz w:val="22"/>
          <w:szCs w:val="22"/>
        </w:rPr>
        <w:t xml:space="preserve"> employer or several employers in the same geographical area.</w:t>
      </w:r>
    </w:p>
    <w:p w14:paraId="771E3374" w14:textId="132D9ED0" w:rsidR="000F252E" w:rsidRDefault="000F252E" w:rsidP="000F252E">
      <w:pPr>
        <w:pStyle w:val="paragraph"/>
        <w:numPr>
          <w:ilvl w:val="0"/>
          <w:numId w:val="12"/>
        </w:numPr>
        <w:spacing w:before="0" w:beforeAutospacing="0" w:after="0" w:afterAutospacing="0"/>
        <w:ind w:left="1080" w:firstLine="0"/>
        <w:jc w:val="both"/>
        <w:textAlignment w:val="baseline"/>
        <w:rPr>
          <w:rStyle w:val="normaltextrun"/>
          <w:sz w:val="22"/>
          <w:szCs w:val="22"/>
        </w:rPr>
      </w:pPr>
      <w:r w:rsidRPr="00CD2F11">
        <w:rPr>
          <w:b/>
          <w:bCs/>
          <w:sz w:val="22"/>
          <w:szCs w:val="22"/>
        </w:rPr>
        <w:t>Employer-supported childcare</w:t>
      </w:r>
      <w:r w:rsidRPr="00CD2F11">
        <w:rPr>
          <w:sz w:val="22"/>
          <w:szCs w:val="22"/>
        </w:rPr>
        <w:t xml:space="preserve">: </w:t>
      </w:r>
      <w:r>
        <w:rPr>
          <w:rStyle w:val="normaltextrun"/>
          <w:sz w:val="22"/>
          <w:szCs w:val="22"/>
        </w:rPr>
        <w:t>Fi</w:t>
      </w:r>
      <w:r w:rsidRPr="00CD2F11">
        <w:rPr>
          <w:rStyle w:val="normaltextrun"/>
          <w:sz w:val="22"/>
          <w:szCs w:val="22"/>
        </w:rPr>
        <w:t xml:space="preserve">nancial support provided to childcare centers or directly to parents to benefit </w:t>
      </w:r>
      <w:r>
        <w:rPr>
          <w:rStyle w:val="normaltextrun"/>
          <w:sz w:val="22"/>
          <w:szCs w:val="22"/>
        </w:rPr>
        <w:t>a</w:t>
      </w:r>
      <w:r w:rsidRPr="00CD2F11">
        <w:rPr>
          <w:rStyle w:val="normaltextrun"/>
          <w:sz w:val="22"/>
          <w:szCs w:val="22"/>
        </w:rPr>
        <w:t xml:space="preserve"> company’s employees. </w:t>
      </w:r>
    </w:p>
    <w:p w14:paraId="650F05D5" w14:textId="77777777" w:rsidR="000F252E" w:rsidRDefault="000F252E" w:rsidP="000F252E">
      <w:pPr>
        <w:pStyle w:val="paragraph"/>
        <w:spacing w:before="0" w:beforeAutospacing="0" w:after="0" w:afterAutospacing="0"/>
        <w:jc w:val="both"/>
        <w:textAlignment w:val="baseline"/>
        <w:rPr>
          <w:rStyle w:val="normaltextrun"/>
          <w:sz w:val="22"/>
          <w:szCs w:val="22"/>
        </w:rPr>
      </w:pPr>
    </w:p>
    <w:p w14:paraId="333BBA23" w14:textId="4B11D846" w:rsidR="000F252E" w:rsidRPr="000F252E" w:rsidRDefault="000F252E" w:rsidP="000F252E">
      <w:pPr>
        <w:pStyle w:val="paragraph"/>
        <w:numPr>
          <w:ilvl w:val="0"/>
          <w:numId w:val="33"/>
        </w:numPr>
        <w:spacing w:before="0" w:beforeAutospacing="0" w:after="0" w:afterAutospacing="0"/>
        <w:jc w:val="both"/>
        <w:textAlignment w:val="baseline"/>
        <w:rPr>
          <w:rStyle w:val="normaltextrun"/>
          <w:b/>
          <w:bCs/>
          <w:i/>
          <w:iCs/>
          <w:sz w:val="22"/>
          <w:szCs w:val="22"/>
        </w:rPr>
      </w:pPr>
      <w:r w:rsidRPr="000F252E">
        <w:rPr>
          <w:rStyle w:val="normaltextrun"/>
          <w:b/>
          <w:bCs/>
          <w:i/>
          <w:iCs/>
          <w:sz w:val="22"/>
          <w:szCs w:val="22"/>
        </w:rPr>
        <w:t xml:space="preserve">Paternity leave: </w:t>
      </w:r>
      <w:r>
        <w:rPr>
          <w:rStyle w:val="normaltextrun"/>
          <w:sz w:val="22"/>
          <w:szCs w:val="22"/>
        </w:rPr>
        <w:t xml:space="preserve">The </w:t>
      </w:r>
      <w:proofErr w:type="spellStart"/>
      <w:r>
        <w:rPr>
          <w:rStyle w:val="normaltextrun"/>
          <w:sz w:val="22"/>
          <w:szCs w:val="22"/>
        </w:rPr>
        <w:t>GoI</w:t>
      </w:r>
      <w:proofErr w:type="spellEnd"/>
      <w:r>
        <w:rPr>
          <w:rStyle w:val="normaltextrun"/>
          <w:sz w:val="22"/>
          <w:szCs w:val="22"/>
        </w:rPr>
        <w:t xml:space="preserve"> should consider </w:t>
      </w:r>
      <w:r w:rsidR="000B486C">
        <w:rPr>
          <w:rStyle w:val="normaltextrun"/>
          <w:sz w:val="22"/>
          <w:szCs w:val="22"/>
        </w:rPr>
        <w:t xml:space="preserve">adjusting </w:t>
      </w:r>
      <w:r>
        <w:rPr>
          <w:rStyle w:val="normaltextrun"/>
          <w:sz w:val="22"/>
          <w:szCs w:val="22"/>
        </w:rPr>
        <w:t xml:space="preserve">or harmonizing the obligations </w:t>
      </w:r>
      <w:r w:rsidR="00FB70BB">
        <w:rPr>
          <w:rStyle w:val="normaltextrun"/>
          <w:sz w:val="22"/>
          <w:szCs w:val="22"/>
        </w:rPr>
        <w:t xml:space="preserve">on companies </w:t>
      </w:r>
      <w:r>
        <w:rPr>
          <w:rStyle w:val="normaltextrun"/>
          <w:sz w:val="22"/>
          <w:szCs w:val="22"/>
        </w:rPr>
        <w:t xml:space="preserve">for </w:t>
      </w:r>
      <w:r w:rsidR="00FB70BB">
        <w:rPr>
          <w:rStyle w:val="normaltextrun"/>
          <w:sz w:val="22"/>
          <w:szCs w:val="22"/>
        </w:rPr>
        <w:t xml:space="preserve">their </w:t>
      </w:r>
      <w:r>
        <w:rPr>
          <w:rStyle w:val="normaltextrun"/>
          <w:sz w:val="22"/>
          <w:szCs w:val="22"/>
        </w:rPr>
        <w:t xml:space="preserve">female workers in certain sectors or during certain </w:t>
      </w:r>
      <w:r w:rsidR="00FB70BB">
        <w:rPr>
          <w:rStyle w:val="normaltextrun"/>
          <w:sz w:val="22"/>
          <w:szCs w:val="22"/>
        </w:rPr>
        <w:t xml:space="preserve">working </w:t>
      </w:r>
      <w:r>
        <w:rPr>
          <w:rStyle w:val="normaltextrun"/>
          <w:sz w:val="22"/>
          <w:szCs w:val="22"/>
        </w:rPr>
        <w:t xml:space="preserve">hours. </w:t>
      </w:r>
    </w:p>
    <w:p w14:paraId="0BA43840" w14:textId="77777777" w:rsidR="000F252E" w:rsidRPr="000F252E" w:rsidRDefault="000F252E" w:rsidP="000F252E">
      <w:pPr>
        <w:pStyle w:val="paragraph"/>
        <w:spacing w:before="0" w:beforeAutospacing="0" w:after="0" w:afterAutospacing="0"/>
        <w:ind w:left="1080"/>
        <w:jc w:val="both"/>
        <w:textAlignment w:val="baseline"/>
        <w:rPr>
          <w:rStyle w:val="normaltextrun"/>
          <w:b/>
          <w:bCs/>
          <w:i/>
          <w:iCs/>
          <w:sz w:val="22"/>
          <w:szCs w:val="22"/>
        </w:rPr>
      </w:pPr>
    </w:p>
    <w:p w14:paraId="66EAE3FA" w14:textId="40B5E4E7" w:rsidR="000F252E" w:rsidRPr="000F252E" w:rsidRDefault="000F252E" w:rsidP="000F252E">
      <w:pPr>
        <w:pStyle w:val="paragraph"/>
        <w:numPr>
          <w:ilvl w:val="0"/>
          <w:numId w:val="33"/>
        </w:numPr>
        <w:spacing w:before="0" w:beforeAutospacing="0" w:after="0" w:afterAutospacing="0"/>
        <w:jc w:val="both"/>
        <w:textAlignment w:val="baseline"/>
        <w:rPr>
          <w:rStyle w:val="normaltextrun"/>
          <w:b/>
          <w:bCs/>
          <w:i/>
          <w:iCs/>
          <w:sz w:val="22"/>
          <w:szCs w:val="22"/>
        </w:rPr>
      </w:pPr>
      <w:r>
        <w:rPr>
          <w:rStyle w:val="normaltextrun"/>
          <w:b/>
          <w:bCs/>
          <w:i/>
          <w:iCs/>
          <w:sz w:val="22"/>
          <w:szCs w:val="22"/>
        </w:rPr>
        <w:t xml:space="preserve">Equal pay: </w:t>
      </w:r>
      <w:r>
        <w:rPr>
          <w:rStyle w:val="normaltextrun"/>
          <w:sz w:val="22"/>
          <w:szCs w:val="22"/>
        </w:rPr>
        <w:t xml:space="preserve">The </w:t>
      </w:r>
      <w:proofErr w:type="spellStart"/>
      <w:r>
        <w:rPr>
          <w:rStyle w:val="normaltextrun"/>
          <w:sz w:val="22"/>
          <w:szCs w:val="22"/>
        </w:rPr>
        <w:t>GoI</w:t>
      </w:r>
      <w:proofErr w:type="spellEnd"/>
      <w:r>
        <w:rPr>
          <w:rStyle w:val="normaltextrun"/>
          <w:sz w:val="22"/>
          <w:szCs w:val="22"/>
        </w:rPr>
        <w:t xml:space="preserve"> should consider enacting legislation to ensure equal remuneration for work of equal value. </w:t>
      </w:r>
    </w:p>
    <w:p w14:paraId="5029E8C2" w14:textId="77777777" w:rsidR="00C274AF" w:rsidRPr="00CD2F11" w:rsidRDefault="00C274AF" w:rsidP="00C274AF">
      <w:pPr>
        <w:pStyle w:val="paragraph"/>
        <w:spacing w:before="0" w:beforeAutospacing="0" w:after="0" w:afterAutospacing="0"/>
        <w:jc w:val="both"/>
        <w:textAlignment w:val="baseline"/>
        <w:rPr>
          <w:rStyle w:val="normaltextrun"/>
          <w:sz w:val="22"/>
          <w:szCs w:val="22"/>
        </w:rPr>
      </w:pPr>
    </w:p>
    <w:p w14:paraId="30565D7F" w14:textId="35EF1A5D" w:rsidR="00465E9B" w:rsidRPr="000B486C" w:rsidRDefault="00C21539" w:rsidP="000B486C">
      <w:pPr>
        <w:pStyle w:val="paragraph"/>
        <w:spacing w:before="0" w:beforeAutospacing="0" w:after="0" w:afterAutospacing="0"/>
        <w:ind w:left="360"/>
        <w:jc w:val="both"/>
        <w:textAlignment w:val="baseline"/>
        <w:rPr>
          <w:rStyle w:val="normaltextrun"/>
        </w:rPr>
      </w:pPr>
      <w:r w:rsidRPr="000B486C">
        <w:rPr>
          <w:rStyle w:val="normaltextrun"/>
        </w:rPr>
        <w:t xml:space="preserve">b. </w:t>
      </w:r>
      <w:r w:rsidR="00465E9B" w:rsidRPr="000B486C">
        <w:rPr>
          <w:rStyle w:val="normaltextrun"/>
          <w:b/>
          <w:bCs/>
        </w:rPr>
        <w:t>Taxation</w:t>
      </w:r>
      <w:r w:rsidR="00465E9B" w:rsidRPr="000B486C">
        <w:rPr>
          <w:rStyle w:val="normaltextrun"/>
        </w:rPr>
        <w:t xml:space="preserve"> </w:t>
      </w:r>
    </w:p>
    <w:p w14:paraId="5D956A9F" w14:textId="77777777" w:rsidR="00754F91" w:rsidRDefault="00754F91" w:rsidP="00754F91">
      <w:pPr>
        <w:pStyle w:val="paragraph"/>
        <w:spacing w:before="0" w:beforeAutospacing="0" w:after="0" w:afterAutospacing="0"/>
        <w:jc w:val="both"/>
        <w:textAlignment w:val="baseline"/>
        <w:rPr>
          <w:b/>
          <w:bCs/>
          <w:sz w:val="22"/>
          <w:szCs w:val="22"/>
        </w:rPr>
      </w:pPr>
    </w:p>
    <w:p w14:paraId="4632BDB5" w14:textId="672EC296" w:rsidR="00465E9B" w:rsidRDefault="00465E9B" w:rsidP="00754F91">
      <w:pPr>
        <w:pStyle w:val="paragraph"/>
        <w:spacing w:before="0" w:beforeAutospacing="0" w:after="0" w:afterAutospacing="0"/>
        <w:jc w:val="both"/>
        <w:textAlignment w:val="baseline"/>
        <w:rPr>
          <w:sz w:val="22"/>
          <w:szCs w:val="22"/>
        </w:rPr>
      </w:pPr>
      <w:r w:rsidRPr="00754F91">
        <w:rPr>
          <w:b/>
          <w:bCs/>
          <w:sz w:val="22"/>
          <w:szCs w:val="22"/>
        </w:rPr>
        <w:lastRenderedPageBreak/>
        <w:t>The taxation mechanisms can be improved</w:t>
      </w:r>
      <w:r w:rsidR="005572E6">
        <w:rPr>
          <w:b/>
          <w:bCs/>
          <w:sz w:val="22"/>
          <w:szCs w:val="22"/>
        </w:rPr>
        <w:t>, especially for married women,</w:t>
      </w:r>
      <w:r w:rsidR="003C4C6F" w:rsidRPr="00754F91">
        <w:rPr>
          <w:b/>
          <w:bCs/>
          <w:sz w:val="22"/>
          <w:szCs w:val="22"/>
        </w:rPr>
        <w:t xml:space="preserve"> through revisions of marriage rights.</w:t>
      </w:r>
      <w:r w:rsidR="003C4C6F">
        <w:rPr>
          <w:sz w:val="22"/>
          <w:szCs w:val="22"/>
        </w:rPr>
        <w:t xml:space="preserve"> </w:t>
      </w:r>
      <w:r w:rsidR="009B7911">
        <w:rPr>
          <w:sz w:val="22"/>
          <w:szCs w:val="22"/>
        </w:rPr>
        <w:t xml:space="preserve">To reduce </w:t>
      </w:r>
      <w:r w:rsidR="004D48AF">
        <w:rPr>
          <w:sz w:val="22"/>
          <w:szCs w:val="22"/>
        </w:rPr>
        <w:t xml:space="preserve">the </w:t>
      </w:r>
      <w:r w:rsidR="009B7911">
        <w:rPr>
          <w:sz w:val="22"/>
          <w:szCs w:val="22"/>
        </w:rPr>
        <w:t xml:space="preserve">tax burden for Indonesian women, the country </w:t>
      </w:r>
      <w:r w:rsidR="00765E41">
        <w:rPr>
          <w:sz w:val="22"/>
          <w:szCs w:val="22"/>
        </w:rPr>
        <w:t>could</w:t>
      </w:r>
      <w:r w:rsidR="009B7911">
        <w:rPr>
          <w:sz w:val="22"/>
          <w:szCs w:val="22"/>
        </w:rPr>
        <w:t xml:space="preserve"> consider moving to</w:t>
      </w:r>
      <w:r w:rsidR="00765E41">
        <w:rPr>
          <w:sz w:val="22"/>
          <w:szCs w:val="22"/>
        </w:rPr>
        <w:t>ward</w:t>
      </w:r>
      <w:r w:rsidR="009B7911">
        <w:rPr>
          <w:sz w:val="22"/>
          <w:szCs w:val="22"/>
        </w:rPr>
        <w:t xml:space="preserve"> an individual tax system and </w:t>
      </w:r>
      <w:r w:rsidR="00591CD6">
        <w:rPr>
          <w:sz w:val="22"/>
          <w:szCs w:val="22"/>
        </w:rPr>
        <w:t>removing gender reference</w:t>
      </w:r>
      <w:r w:rsidR="004D48AF">
        <w:rPr>
          <w:sz w:val="22"/>
          <w:szCs w:val="22"/>
        </w:rPr>
        <w:t>s</w:t>
      </w:r>
      <w:r w:rsidR="00591CD6">
        <w:rPr>
          <w:sz w:val="22"/>
          <w:szCs w:val="22"/>
        </w:rPr>
        <w:t xml:space="preserve"> in the </w:t>
      </w:r>
      <w:r w:rsidR="004D4868">
        <w:rPr>
          <w:sz w:val="22"/>
          <w:szCs w:val="22"/>
        </w:rPr>
        <w:t>T</w:t>
      </w:r>
      <w:r w:rsidR="00591CD6">
        <w:rPr>
          <w:sz w:val="22"/>
          <w:szCs w:val="22"/>
        </w:rPr>
        <w:t xml:space="preserve">ax </w:t>
      </w:r>
      <w:r w:rsidR="004D4868">
        <w:rPr>
          <w:sz w:val="22"/>
          <w:szCs w:val="22"/>
        </w:rPr>
        <w:t>L</w:t>
      </w:r>
      <w:r w:rsidR="00591CD6">
        <w:rPr>
          <w:sz w:val="22"/>
          <w:szCs w:val="22"/>
        </w:rPr>
        <w:t xml:space="preserve">aw. </w:t>
      </w:r>
      <w:r w:rsidR="003C4C6F">
        <w:rPr>
          <w:sz w:val="22"/>
          <w:szCs w:val="22"/>
        </w:rPr>
        <w:t xml:space="preserve">Implementing tax credits for childcare </w:t>
      </w:r>
      <w:r w:rsidR="004D48AF">
        <w:rPr>
          <w:sz w:val="22"/>
          <w:szCs w:val="22"/>
        </w:rPr>
        <w:t>would</w:t>
      </w:r>
      <w:r w:rsidR="003C4C6F">
        <w:rPr>
          <w:sz w:val="22"/>
          <w:szCs w:val="22"/>
        </w:rPr>
        <w:t xml:space="preserve"> also </w:t>
      </w:r>
      <w:r w:rsidR="00C93EFB">
        <w:rPr>
          <w:sz w:val="22"/>
          <w:szCs w:val="22"/>
        </w:rPr>
        <w:t>be beneficial by increasing the use of private childcare facilities and</w:t>
      </w:r>
      <w:r w:rsidR="00621F6D">
        <w:rPr>
          <w:sz w:val="22"/>
          <w:szCs w:val="22"/>
        </w:rPr>
        <w:t xml:space="preserve"> reducing childcare expenses</w:t>
      </w:r>
      <w:r w:rsidR="005572E6">
        <w:rPr>
          <w:sz w:val="22"/>
          <w:szCs w:val="22"/>
        </w:rPr>
        <w:t>,</w:t>
      </w:r>
      <w:r w:rsidR="00621F6D">
        <w:rPr>
          <w:sz w:val="22"/>
          <w:szCs w:val="22"/>
        </w:rPr>
        <w:t xml:space="preserve"> </w:t>
      </w:r>
      <w:r w:rsidR="004D48AF">
        <w:rPr>
          <w:sz w:val="22"/>
          <w:szCs w:val="22"/>
        </w:rPr>
        <w:t xml:space="preserve">which otherwise </w:t>
      </w:r>
      <w:r w:rsidR="005572E6">
        <w:rPr>
          <w:sz w:val="22"/>
          <w:szCs w:val="22"/>
        </w:rPr>
        <w:t>often lead</w:t>
      </w:r>
      <w:r w:rsidR="00621F6D">
        <w:rPr>
          <w:sz w:val="22"/>
          <w:szCs w:val="22"/>
        </w:rPr>
        <w:t xml:space="preserve"> women</w:t>
      </w:r>
      <w:r w:rsidR="001F7AA9">
        <w:rPr>
          <w:sz w:val="22"/>
          <w:szCs w:val="22"/>
        </w:rPr>
        <w:t xml:space="preserve"> to stay at home</w:t>
      </w:r>
      <w:r w:rsidR="00621F6D">
        <w:rPr>
          <w:sz w:val="22"/>
          <w:szCs w:val="22"/>
        </w:rPr>
        <w:t>.</w:t>
      </w:r>
      <w:r w:rsidR="00512405" w:rsidRPr="00512405">
        <w:rPr>
          <w:sz w:val="22"/>
          <w:szCs w:val="22"/>
        </w:rPr>
        <w:t xml:space="preserve"> </w:t>
      </w:r>
    </w:p>
    <w:p w14:paraId="41BB326B" w14:textId="1DE940CE" w:rsidR="001029F6" w:rsidRPr="000B486C" w:rsidRDefault="00C21539" w:rsidP="007A369B">
      <w:pPr>
        <w:pStyle w:val="paragraph"/>
        <w:spacing w:before="240" w:beforeAutospacing="0" w:after="0" w:afterAutospacing="0"/>
        <w:ind w:left="360"/>
        <w:jc w:val="both"/>
        <w:textAlignment w:val="baseline"/>
        <w:rPr>
          <w:rStyle w:val="normaltextrun"/>
        </w:rPr>
      </w:pPr>
      <w:r w:rsidRPr="000B486C">
        <w:rPr>
          <w:b/>
          <w:bCs/>
        </w:rPr>
        <w:t>c.</w:t>
      </w:r>
      <w:r w:rsidRPr="000B486C">
        <w:rPr>
          <w:b/>
          <w:bCs/>
          <w:sz w:val="22"/>
          <w:szCs w:val="22"/>
        </w:rPr>
        <w:t xml:space="preserve"> </w:t>
      </w:r>
      <w:r w:rsidR="001029F6" w:rsidRPr="000B486C">
        <w:rPr>
          <w:rStyle w:val="normaltextrun"/>
          <w:b/>
          <w:bCs/>
        </w:rPr>
        <w:t>Assets ownerships/ Inheritance</w:t>
      </w:r>
      <w:r w:rsidR="001029F6" w:rsidRPr="000B486C">
        <w:rPr>
          <w:rStyle w:val="normaltextrun"/>
        </w:rPr>
        <w:t xml:space="preserve"> </w:t>
      </w:r>
    </w:p>
    <w:p w14:paraId="1B463C42" w14:textId="77777777" w:rsidR="00465E9B" w:rsidRPr="000B486C" w:rsidRDefault="00465E9B" w:rsidP="00465E9B">
      <w:pPr>
        <w:pStyle w:val="paragraph"/>
        <w:spacing w:before="0" w:beforeAutospacing="0" w:after="0" w:afterAutospacing="0"/>
        <w:ind w:left="720"/>
        <w:jc w:val="both"/>
        <w:textAlignment w:val="baseline"/>
        <w:rPr>
          <w:rStyle w:val="normaltextrun"/>
        </w:rPr>
      </w:pPr>
    </w:p>
    <w:p w14:paraId="15063766" w14:textId="2C264450" w:rsidR="00C274AF" w:rsidRDefault="001029F6" w:rsidP="00754F91">
      <w:pPr>
        <w:pStyle w:val="paragraph"/>
        <w:spacing w:before="0" w:beforeAutospacing="0" w:after="0" w:afterAutospacing="0"/>
        <w:jc w:val="both"/>
        <w:textAlignment w:val="baseline"/>
        <w:rPr>
          <w:sz w:val="22"/>
          <w:szCs w:val="22"/>
        </w:rPr>
      </w:pPr>
      <w:r w:rsidRPr="00754F91">
        <w:rPr>
          <w:b/>
          <w:bCs/>
          <w:sz w:val="22"/>
          <w:szCs w:val="22"/>
        </w:rPr>
        <w:t xml:space="preserve">To improve </w:t>
      </w:r>
      <w:r w:rsidR="004D48AF">
        <w:rPr>
          <w:b/>
          <w:bCs/>
          <w:sz w:val="22"/>
          <w:szCs w:val="22"/>
        </w:rPr>
        <w:t>i</w:t>
      </w:r>
      <w:r w:rsidR="005572E6">
        <w:rPr>
          <w:b/>
          <w:bCs/>
          <w:sz w:val="22"/>
          <w:szCs w:val="22"/>
        </w:rPr>
        <w:t>nheritance rights, Indonesia may want to consider closing the gender gap</w:t>
      </w:r>
      <w:r w:rsidRPr="00754F91">
        <w:rPr>
          <w:b/>
          <w:bCs/>
          <w:sz w:val="22"/>
          <w:szCs w:val="22"/>
        </w:rPr>
        <w:t xml:space="preserve"> regarding inheritance law by giving </w:t>
      </w:r>
      <w:r w:rsidR="00512405">
        <w:rPr>
          <w:b/>
          <w:bCs/>
          <w:sz w:val="22"/>
          <w:szCs w:val="22"/>
        </w:rPr>
        <w:t>women</w:t>
      </w:r>
      <w:r w:rsidRPr="00754F91">
        <w:rPr>
          <w:b/>
          <w:bCs/>
          <w:sz w:val="22"/>
          <w:szCs w:val="22"/>
        </w:rPr>
        <w:t xml:space="preserve"> equal </w:t>
      </w:r>
      <w:r w:rsidR="005572E6">
        <w:rPr>
          <w:b/>
          <w:bCs/>
          <w:sz w:val="22"/>
          <w:szCs w:val="22"/>
        </w:rPr>
        <w:t>inheritance rights</w:t>
      </w:r>
      <w:r w:rsidRPr="00754F91">
        <w:rPr>
          <w:sz w:val="22"/>
          <w:szCs w:val="22"/>
        </w:rPr>
        <w:t xml:space="preserve">. </w:t>
      </w:r>
      <w:r w:rsidR="005572E6">
        <w:rPr>
          <w:sz w:val="22"/>
          <w:szCs w:val="22"/>
        </w:rPr>
        <w:t>Financial sector reforms could accompany these measures</w:t>
      </w:r>
      <w:r w:rsidRPr="00754F91">
        <w:rPr>
          <w:sz w:val="22"/>
          <w:szCs w:val="22"/>
        </w:rPr>
        <w:t xml:space="preserve"> to support </w:t>
      </w:r>
      <w:r w:rsidR="005572E6">
        <w:rPr>
          <w:sz w:val="22"/>
          <w:szCs w:val="22"/>
        </w:rPr>
        <w:t>women</w:t>
      </w:r>
      <w:r w:rsidR="004D4868">
        <w:rPr>
          <w:sz w:val="22"/>
          <w:szCs w:val="22"/>
        </w:rPr>
        <w:t>’</w:t>
      </w:r>
      <w:r w:rsidR="005572E6">
        <w:rPr>
          <w:sz w:val="22"/>
          <w:szCs w:val="22"/>
        </w:rPr>
        <w:t>s acquisition of immovable assets and access to business loans without collateral (through credit guarantee schemes,</w:t>
      </w:r>
      <w:r w:rsidRPr="00754F91">
        <w:rPr>
          <w:sz w:val="22"/>
          <w:szCs w:val="22"/>
        </w:rPr>
        <w:t xml:space="preserve"> for instance). </w:t>
      </w:r>
      <w:r w:rsidR="000B486C">
        <w:rPr>
          <w:sz w:val="22"/>
          <w:szCs w:val="22"/>
        </w:rPr>
        <w:t xml:space="preserve">Complementary policies can be introduced in the financial sectors to improve women’s access to finance. </w:t>
      </w:r>
      <w:r w:rsidR="000B486C">
        <w:rPr>
          <w:rStyle w:val="FootnoteReference"/>
          <w:sz w:val="22"/>
          <w:szCs w:val="22"/>
        </w:rPr>
        <w:footnoteReference w:id="5"/>
      </w:r>
      <w:r w:rsidRPr="00754F91">
        <w:rPr>
          <w:sz w:val="22"/>
          <w:szCs w:val="22"/>
        </w:rPr>
        <w:t xml:space="preserve"> </w:t>
      </w:r>
      <w:r w:rsidR="005572E6">
        <w:rPr>
          <w:sz w:val="22"/>
          <w:szCs w:val="22"/>
        </w:rPr>
        <w:t>Commercial banks can also provide additional support teams</w:t>
      </w:r>
      <w:r w:rsidR="00A61960" w:rsidRPr="00754F91">
        <w:rPr>
          <w:sz w:val="22"/>
          <w:szCs w:val="22"/>
        </w:rPr>
        <w:t xml:space="preserve"> for</w:t>
      </w:r>
      <w:r w:rsidR="00465E9B" w:rsidRPr="00754F91">
        <w:rPr>
          <w:sz w:val="22"/>
          <w:szCs w:val="22"/>
        </w:rPr>
        <w:t xml:space="preserve"> women applicants. </w:t>
      </w:r>
    </w:p>
    <w:p w14:paraId="34E97975" w14:textId="77777777" w:rsidR="00577B2E" w:rsidRPr="00754F91" w:rsidRDefault="00577B2E" w:rsidP="00754F91">
      <w:pPr>
        <w:pStyle w:val="paragraph"/>
        <w:spacing w:before="0" w:beforeAutospacing="0" w:after="0" w:afterAutospacing="0"/>
        <w:jc w:val="both"/>
        <w:textAlignment w:val="baseline"/>
        <w:rPr>
          <w:sz w:val="22"/>
          <w:szCs w:val="22"/>
        </w:rPr>
      </w:pPr>
    </w:p>
    <w:p w14:paraId="3D40E177" w14:textId="77777777" w:rsidR="001F7AA9" w:rsidRPr="00754F91" w:rsidRDefault="001F7AA9" w:rsidP="001F7AA9">
      <w:pPr>
        <w:pStyle w:val="paragraph"/>
        <w:spacing w:before="0" w:beforeAutospacing="0" w:after="0" w:afterAutospacing="0"/>
        <w:jc w:val="both"/>
        <w:textAlignment w:val="baseline"/>
        <w:rPr>
          <w:sz w:val="22"/>
          <w:szCs w:val="22"/>
        </w:rPr>
      </w:pPr>
    </w:p>
    <w:p w14:paraId="2EA34FDA" w14:textId="64F3D0B9" w:rsidR="00697B24" w:rsidRPr="007922A1" w:rsidRDefault="003B6F29" w:rsidP="004A6DF3">
      <w:pPr>
        <w:pStyle w:val="ListParagraph"/>
        <w:numPr>
          <w:ilvl w:val="0"/>
          <w:numId w:val="4"/>
        </w:numPr>
        <w:spacing w:after="120" w:line="240" w:lineRule="auto"/>
        <w:rPr>
          <w:rFonts w:ascii="Times New Roman" w:eastAsia="Times New Roman" w:hAnsi="Times New Roman" w:cs="Times New Roman"/>
          <w:b/>
          <w:bCs/>
          <w:sz w:val="28"/>
          <w:szCs w:val="28"/>
        </w:rPr>
      </w:pPr>
      <w:r w:rsidRPr="004A6DF3">
        <w:rPr>
          <w:rFonts w:ascii="Times New Roman" w:eastAsia="Times New Roman" w:hAnsi="Times New Roman" w:cs="Times New Roman"/>
        </w:rPr>
        <w:t xml:space="preserve"> </w:t>
      </w:r>
      <w:r w:rsidR="00A97D38" w:rsidRPr="007922A1">
        <w:rPr>
          <w:rFonts w:ascii="Times New Roman" w:eastAsia="Times New Roman" w:hAnsi="Times New Roman" w:cs="Times New Roman"/>
          <w:b/>
          <w:bCs/>
          <w:color w:val="4472C4" w:themeColor="accent1"/>
          <w:sz w:val="28"/>
          <w:szCs w:val="28"/>
        </w:rPr>
        <w:t xml:space="preserve">Inspiring G-20 </w:t>
      </w:r>
      <w:r w:rsidR="005572E6" w:rsidRPr="007922A1">
        <w:rPr>
          <w:rFonts w:ascii="Times New Roman" w:eastAsia="Times New Roman" w:hAnsi="Times New Roman" w:cs="Times New Roman"/>
          <w:b/>
          <w:bCs/>
          <w:color w:val="4472C4" w:themeColor="accent1"/>
          <w:sz w:val="28"/>
          <w:szCs w:val="28"/>
        </w:rPr>
        <w:t>countries</w:t>
      </w:r>
      <w:r w:rsidR="004D4868" w:rsidRPr="007922A1">
        <w:rPr>
          <w:rFonts w:ascii="Times New Roman" w:eastAsia="Times New Roman" w:hAnsi="Times New Roman" w:cs="Times New Roman"/>
          <w:b/>
          <w:bCs/>
          <w:color w:val="4472C4" w:themeColor="accent1"/>
          <w:sz w:val="28"/>
          <w:szCs w:val="28"/>
        </w:rPr>
        <w:t>’</w:t>
      </w:r>
      <w:r w:rsidR="005572E6" w:rsidRPr="007922A1">
        <w:rPr>
          <w:rFonts w:ascii="Times New Roman" w:eastAsia="Times New Roman" w:hAnsi="Times New Roman" w:cs="Times New Roman"/>
          <w:b/>
          <w:bCs/>
          <w:color w:val="4472C4" w:themeColor="accent1"/>
          <w:sz w:val="28"/>
          <w:szCs w:val="28"/>
        </w:rPr>
        <w:t xml:space="preserve"> best practices</w:t>
      </w:r>
      <w:r w:rsidR="00A97D38" w:rsidRPr="007922A1">
        <w:rPr>
          <w:rFonts w:ascii="Times New Roman" w:eastAsia="Times New Roman" w:hAnsi="Times New Roman" w:cs="Times New Roman"/>
          <w:b/>
          <w:bCs/>
          <w:color w:val="4472C4" w:themeColor="accent1"/>
          <w:sz w:val="28"/>
          <w:szCs w:val="28"/>
        </w:rPr>
        <w:t xml:space="preserve"> addressing similar </w:t>
      </w:r>
      <w:r w:rsidR="00A61960" w:rsidRPr="007922A1">
        <w:rPr>
          <w:rFonts w:ascii="Times New Roman" w:eastAsia="Times New Roman" w:hAnsi="Times New Roman" w:cs="Times New Roman"/>
          <w:b/>
          <w:bCs/>
          <w:color w:val="4472C4" w:themeColor="accent1"/>
          <w:sz w:val="28"/>
          <w:szCs w:val="28"/>
        </w:rPr>
        <w:t>issues</w:t>
      </w:r>
      <w:r w:rsidR="00A97D38" w:rsidRPr="007922A1">
        <w:rPr>
          <w:rFonts w:ascii="Times New Roman" w:eastAsia="Times New Roman" w:hAnsi="Times New Roman" w:cs="Times New Roman"/>
          <w:b/>
          <w:bCs/>
          <w:color w:val="4472C4" w:themeColor="accent1"/>
          <w:sz w:val="28"/>
          <w:szCs w:val="28"/>
        </w:rPr>
        <w:t xml:space="preserve"> </w:t>
      </w:r>
    </w:p>
    <w:p w14:paraId="504FC3BF" w14:textId="504777FA" w:rsidR="00697B24" w:rsidRPr="00CD2F11" w:rsidRDefault="00F444B9" w:rsidP="001022E8">
      <w:pPr>
        <w:spacing w:after="120" w:line="240" w:lineRule="auto"/>
        <w:jc w:val="both"/>
        <w:rPr>
          <w:rFonts w:ascii="Times New Roman" w:eastAsia="Times New Roman" w:hAnsi="Times New Roman" w:cs="Times New Roman"/>
        </w:rPr>
      </w:pPr>
      <w:r w:rsidRPr="00754F91">
        <w:rPr>
          <w:rFonts w:ascii="Times New Roman" w:eastAsia="Times New Roman" w:hAnsi="Times New Roman" w:cs="Times New Roman"/>
          <w:b/>
          <w:bCs/>
        </w:rPr>
        <w:t xml:space="preserve">Many G-20 countries have faced </w:t>
      </w:r>
      <w:r w:rsidR="005572E6">
        <w:rPr>
          <w:rFonts w:ascii="Times New Roman" w:eastAsia="Times New Roman" w:hAnsi="Times New Roman" w:cs="Times New Roman"/>
          <w:b/>
          <w:bCs/>
        </w:rPr>
        <w:t xml:space="preserve">regulatory issues similar to </w:t>
      </w:r>
      <w:r w:rsidR="004D48AF">
        <w:rPr>
          <w:rFonts w:ascii="Times New Roman" w:eastAsia="Times New Roman" w:hAnsi="Times New Roman" w:cs="Times New Roman"/>
          <w:b/>
          <w:bCs/>
        </w:rPr>
        <w:t xml:space="preserve">those in </w:t>
      </w:r>
      <w:r w:rsidR="005572E6">
        <w:rPr>
          <w:rFonts w:ascii="Times New Roman" w:eastAsia="Times New Roman" w:hAnsi="Times New Roman" w:cs="Times New Roman"/>
          <w:b/>
          <w:bCs/>
        </w:rPr>
        <w:t>Indonesia and have taken successful actions in recent years to improve women</w:t>
      </w:r>
      <w:r w:rsidR="004D4868">
        <w:rPr>
          <w:rFonts w:ascii="Times New Roman" w:eastAsia="Times New Roman" w:hAnsi="Times New Roman" w:cs="Times New Roman"/>
          <w:b/>
          <w:bCs/>
        </w:rPr>
        <w:t>’</w:t>
      </w:r>
      <w:r w:rsidR="005572E6">
        <w:rPr>
          <w:rFonts w:ascii="Times New Roman" w:eastAsia="Times New Roman" w:hAnsi="Times New Roman" w:cs="Times New Roman"/>
          <w:b/>
          <w:bCs/>
        </w:rPr>
        <w:t>s</w:t>
      </w:r>
      <w:r w:rsidRPr="00754F91">
        <w:rPr>
          <w:rFonts w:ascii="Times New Roman" w:eastAsia="Times New Roman" w:hAnsi="Times New Roman" w:cs="Times New Roman"/>
          <w:b/>
          <w:bCs/>
        </w:rPr>
        <w:t xml:space="preserve"> economic participation.</w:t>
      </w:r>
      <w:r w:rsidRPr="00CD2F11">
        <w:rPr>
          <w:rFonts w:ascii="Times New Roman" w:eastAsia="Times New Roman" w:hAnsi="Times New Roman" w:cs="Times New Roman"/>
        </w:rPr>
        <w:t xml:space="preserve"> </w:t>
      </w:r>
      <w:r w:rsidR="0020190D" w:rsidRPr="00CD2F11">
        <w:rPr>
          <w:rFonts w:ascii="Times New Roman" w:eastAsia="Times New Roman" w:hAnsi="Times New Roman" w:cs="Times New Roman"/>
        </w:rPr>
        <w:t xml:space="preserve">For each </w:t>
      </w:r>
      <w:r w:rsidR="005572E6">
        <w:rPr>
          <w:rFonts w:ascii="Times New Roman" w:eastAsia="Times New Roman" w:hAnsi="Times New Roman" w:cs="Times New Roman"/>
        </w:rPr>
        <w:t>challenge</w:t>
      </w:r>
      <w:r w:rsidR="00047B7A" w:rsidRPr="00CD2F11">
        <w:rPr>
          <w:rFonts w:ascii="Times New Roman" w:eastAsia="Times New Roman" w:hAnsi="Times New Roman" w:cs="Times New Roman"/>
        </w:rPr>
        <w:t xml:space="preserve">, this section </w:t>
      </w:r>
      <w:r w:rsidRPr="00CD2F11">
        <w:rPr>
          <w:rFonts w:ascii="Times New Roman" w:eastAsia="Times New Roman" w:hAnsi="Times New Roman" w:cs="Times New Roman"/>
        </w:rPr>
        <w:t>provides some key examples to inform the public-private dialog</w:t>
      </w:r>
      <w:r w:rsidR="004D48AF">
        <w:rPr>
          <w:rFonts w:ascii="Times New Roman" w:eastAsia="Times New Roman" w:hAnsi="Times New Roman" w:cs="Times New Roman"/>
        </w:rPr>
        <w:t>ue</w:t>
      </w:r>
      <w:r w:rsidRPr="00CD2F11">
        <w:rPr>
          <w:rFonts w:ascii="Times New Roman" w:eastAsia="Times New Roman" w:hAnsi="Times New Roman" w:cs="Times New Roman"/>
        </w:rPr>
        <w:t xml:space="preserve"> and </w:t>
      </w:r>
      <w:r w:rsidR="00F43E1F" w:rsidRPr="00CD2F11">
        <w:rPr>
          <w:rFonts w:ascii="Times New Roman" w:eastAsia="Times New Roman" w:hAnsi="Times New Roman" w:cs="Times New Roman"/>
        </w:rPr>
        <w:t>concrete recommendations</w:t>
      </w:r>
      <w:r w:rsidR="00DE028B" w:rsidRPr="00CD2F11">
        <w:rPr>
          <w:rFonts w:ascii="Times New Roman" w:eastAsia="Times New Roman" w:hAnsi="Times New Roman" w:cs="Times New Roman"/>
        </w:rPr>
        <w:t xml:space="preserve">. </w:t>
      </w:r>
    </w:p>
    <w:p w14:paraId="3D3B2D2A" w14:textId="543E936B" w:rsidR="00A97D38" w:rsidRPr="007A369B" w:rsidRDefault="009729EE" w:rsidP="00DE028B">
      <w:pPr>
        <w:pStyle w:val="ListParagraph"/>
        <w:numPr>
          <w:ilvl w:val="0"/>
          <w:numId w:val="9"/>
        </w:numPr>
        <w:spacing w:after="120" w:line="240" w:lineRule="auto"/>
        <w:rPr>
          <w:rFonts w:ascii="Times New Roman" w:eastAsia="Times New Roman" w:hAnsi="Times New Roman" w:cs="Times New Roman"/>
          <w:b/>
          <w:bCs/>
          <w:sz w:val="24"/>
          <w:szCs w:val="24"/>
        </w:rPr>
      </w:pPr>
      <w:r w:rsidRPr="007A369B">
        <w:rPr>
          <w:rFonts w:ascii="Times New Roman" w:eastAsia="Times New Roman" w:hAnsi="Times New Roman" w:cs="Times New Roman"/>
          <w:b/>
          <w:bCs/>
          <w:sz w:val="24"/>
          <w:szCs w:val="24"/>
        </w:rPr>
        <w:t xml:space="preserve">Labor Law </w:t>
      </w:r>
    </w:p>
    <w:tbl>
      <w:tblPr>
        <w:tblStyle w:val="TableGrid"/>
        <w:tblpPr w:leftFromText="180" w:rightFromText="180" w:vertAnchor="text" w:horzAnchor="margin" w:tblpY="18"/>
        <w:tblW w:w="9355" w:type="dxa"/>
        <w:tblLayout w:type="fixed"/>
        <w:tblLook w:val="04A0" w:firstRow="1" w:lastRow="0" w:firstColumn="1" w:lastColumn="0" w:noHBand="0" w:noVBand="1"/>
      </w:tblPr>
      <w:tblGrid>
        <w:gridCol w:w="3325"/>
        <w:gridCol w:w="6030"/>
      </w:tblGrid>
      <w:tr w:rsidR="00513A6B" w:rsidRPr="00CD2F11" w14:paraId="0AAC6FC5" w14:textId="77777777" w:rsidTr="00EF6312">
        <w:tc>
          <w:tcPr>
            <w:tcW w:w="3325" w:type="dxa"/>
            <w:shd w:val="clear" w:color="auto" w:fill="D0CECE" w:themeFill="background2" w:themeFillShade="E6"/>
          </w:tcPr>
          <w:p w14:paraId="5FE6ED10" w14:textId="77777777" w:rsidR="00513A6B" w:rsidRPr="00CD2F11" w:rsidRDefault="00513A6B" w:rsidP="00BA5F3B">
            <w:pPr>
              <w:rPr>
                <w:rFonts w:ascii="Times New Roman" w:hAnsi="Times New Roman" w:cs="Times New Roman"/>
                <w:b/>
                <w:bCs/>
              </w:rPr>
            </w:pPr>
            <w:r w:rsidRPr="00CD2F11">
              <w:rPr>
                <w:rFonts w:ascii="Times New Roman" w:hAnsi="Times New Roman" w:cs="Times New Roman"/>
                <w:b/>
                <w:bCs/>
              </w:rPr>
              <w:t>Gaps</w:t>
            </w:r>
          </w:p>
        </w:tc>
        <w:tc>
          <w:tcPr>
            <w:tcW w:w="6030" w:type="dxa"/>
            <w:shd w:val="clear" w:color="auto" w:fill="D0CECE" w:themeFill="background2" w:themeFillShade="E6"/>
          </w:tcPr>
          <w:p w14:paraId="53CDBCBD" w14:textId="03F5A1D2" w:rsidR="00513A6B" w:rsidRPr="00CD2F11" w:rsidRDefault="004D48AF" w:rsidP="00BA5F3B">
            <w:pPr>
              <w:rPr>
                <w:rFonts w:ascii="Times New Roman" w:hAnsi="Times New Roman" w:cs="Times New Roman"/>
                <w:b/>
                <w:bCs/>
              </w:rPr>
            </w:pPr>
            <w:r>
              <w:rPr>
                <w:rFonts w:ascii="Times New Roman" w:hAnsi="Times New Roman" w:cs="Times New Roman"/>
                <w:b/>
                <w:bCs/>
              </w:rPr>
              <w:t>Best</w:t>
            </w:r>
            <w:r w:rsidR="000D7121">
              <w:rPr>
                <w:rFonts w:ascii="Times New Roman" w:hAnsi="Times New Roman" w:cs="Times New Roman"/>
                <w:b/>
                <w:bCs/>
              </w:rPr>
              <w:t xml:space="preserve"> practices</w:t>
            </w:r>
          </w:p>
          <w:p w14:paraId="16CE7D5F" w14:textId="77777777" w:rsidR="00513A6B" w:rsidRPr="00CD2F11" w:rsidRDefault="00513A6B" w:rsidP="00BA5F3B">
            <w:pPr>
              <w:rPr>
                <w:rFonts w:ascii="Times New Roman" w:hAnsi="Times New Roman" w:cs="Times New Roman"/>
                <w:b/>
                <w:bCs/>
              </w:rPr>
            </w:pPr>
          </w:p>
        </w:tc>
      </w:tr>
      <w:tr w:rsidR="00513A6B" w:rsidRPr="00CD2F11" w14:paraId="0FA6E5CA" w14:textId="77777777" w:rsidTr="00EF6312">
        <w:tc>
          <w:tcPr>
            <w:tcW w:w="3325" w:type="dxa"/>
            <w:shd w:val="clear" w:color="auto" w:fill="D9E2F3" w:themeFill="accent1" w:themeFillTint="33"/>
          </w:tcPr>
          <w:p w14:paraId="7EB1994E" w14:textId="22EB0622" w:rsidR="009729EE" w:rsidRPr="00CD2F11" w:rsidRDefault="009729EE" w:rsidP="00BA5F3B">
            <w:pPr>
              <w:jc w:val="both"/>
              <w:rPr>
                <w:rFonts w:ascii="Times New Roman" w:hAnsi="Times New Roman" w:cs="Times New Roman"/>
                <w:b/>
                <w:bCs/>
              </w:rPr>
            </w:pPr>
            <w:r w:rsidRPr="00CD2F11">
              <w:rPr>
                <w:rFonts w:ascii="Times New Roman" w:hAnsi="Times New Roman" w:cs="Times New Roman"/>
                <w:b/>
                <w:bCs/>
              </w:rPr>
              <w:t xml:space="preserve">Obligations for employers specific to female employees </w:t>
            </w:r>
            <w:r w:rsidR="004D48AF">
              <w:rPr>
                <w:rFonts w:ascii="Times New Roman" w:hAnsi="Times New Roman" w:cs="Times New Roman"/>
                <w:b/>
                <w:bCs/>
              </w:rPr>
              <w:t xml:space="preserve">that </w:t>
            </w:r>
            <w:r w:rsidRPr="00CD2F11">
              <w:rPr>
                <w:rFonts w:ascii="Times New Roman" w:hAnsi="Times New Roman" w:cs="Times New Roman"/>
                <w:b/>
                <w:bCs/>
              </w:rPr>
              <w:t xml:space="preserve">limit incentives to hire </w:t>
            </w:r>
            <w:r w:rsidR="00A61960" w:rsidRPr="00CD2F11">
              <w:rPr>
                <w:rFonts w:ascii="Times New Roman" w:hAnsi="Times New Roman" w:cs="Times New Roman"/>
                <w:b/>
                <w:bCs/>
              </w:rPr>
              <w:t>women.</w:t>
            </w:r>
          </w:p>
          <w:p w14:paraId="5B941165" w14:textId="7CCFE782" w:rsidR="009729EE" w:rsidRPr="00CD2F11" w:rsidRDefault="009729EE" w:rsidP="00BA5F3B">
            <w:pPr>
              <w:jc w:val="both"/>
              <w:rPr>
                <w:rFonts w:ascii="Times New Roman" w:hAnsi="Times New Roman" w:cs="Times New Roman"/>
              </w:rPr>
            </w:pPr>
          </w:p>
          <w:p w14:paraId="4EF16382" w14:textId="1D8340AE" w:rsidR="009729EE" w:rsidRPr="00CD2F11" w:rsidRDefault="009729EE" w:rsidP="00BA5F3B">
            <w:pPr>
              <w:jc w:val="both"/>
              <w:rPr>
                <w:rFonts w:ascii="Times New Roman" w:hAnsi="Times New Roman" w:cs="Times New Roman"/>
              </w:rPr>
            </w:pPr>
          </w:p>
          <w:p w14:paraId="4F0ABBC8" w14:textId="77777777" w:rsidR="009729EE" w:rsidRPr="00CD2F11" w:rsidRDefault="009729EE" w:rsidP="00BA5F3B">
            <w:pPr>
              <w:jc w:val="both"/>
              <w:rPr>
                <w:rFonts w:ascii="Times New Roman" w:hAnsi="Times New Roman" w:cs="Times New Roman"/>
              </w:rPr>
            </w:pPr>
          </w:p>
          <w:p w14:paraId="05DE611E" w14:textId="77777777" w:rsidR="009729EE" w:rsidRPr="00CD2F11" w:rsidRDefault="009729EE" w:rsidP="00BA5F3B">
            <w:pPr>
              <w:jc w:val="both"/>
              <w:rPr>
                <w:rFonts w:ascii="Times New Roman" w:hAnsi="Times New Roman" w:cs="Times New Roman"/>
              </w:rPr>
            </w:pPr>
          </w:p>
          <w:p w14:paraId="3E39F348" w14:textId="77777777" w:rsidR="00513A6B" w:rsidRPr="00CD2F11" w:rsidRDefault="00513A6B" w:rsidP="009729EE">
            <w:pPr>
              <w:jc w:val="both"/>
              <w:rPr>
                <w:rFonts w:ascii="Times New Roman" w:hAnsi="Times New Roman" w:cs="Times New Roman"/>
              </w:rPr>
            </w:pPr>
          </w:p>
        </w:tc>
        <w:tc>
          <w:tcPr>
            <w:tcW w:w="6030" w:type="dxa"/>
            <w:shd w:val="clear" w:color="auto" w:fill="D9E2F3" w:themeFill="accent1" w:themeFillTint="33"/>
          </w:tcPr>
          <w:p w14:paraId="6603E74E" w14:textId="7F3C0E7B" w:rsidR="009729EE" w:rsidRPr="00CD2F11" w:rsidRDefault="009729EE" w:rsidP="009729EE">
            <w:pPr>
              <w:jc w:val="both"/>
              <w:rPr>
                <w:rFonts w:ascii="Times New Roman" w:hAnsi="Times New Roman" w:cs="Times New Roman"/>
              </w:rPr>
            </w:pPr>
            <w:r w:rsidRPr="00DE28C3">
              <w:rPr>
                <w:rStyle w:val="normaltextrun"/>
                <w:rFonts w:ascii="Times New Roman" w:hAnsi="Times New Roman" w:cs="Times New Roman"/>
                <w:b/>
                <w:bCs/>
              </w:rPr>
              <w:t>Jordan</w:t>
            </w:r>
            <w:r w:rsidRPr="00CD2F11">
              <w:rPr>
                <w:rStyle w:val="normaltextrun"/>
                <w:rFonts w:ascii="Times New Roman" w:hAnsi="Times New Roman" w:cs="Times New Roman"/>
              </w:rPr>
              <w:t xml:space="preserve"> issued an order in 2020 to remove any requirements related to </w:t>
            </w:r>
            <w:r w:rsidR="005572E6">
              <w:rPr>
                <w:rStyle w:val="normaltextrun"/>
                <w:rFonts w:ascii="Times New Roman" w:hAnsi="Times New Roman" w:cs="Times New Roman"/>
              </w:rPr>
              <w:t>women</w:t>
            </w:r>
            <w:r w:rsidR="004D4868">
              <w:rPr>
                <w:rStyle w:val="normaltextrun"/>
                <w:rFonts w:ascii="Times New Roman" w:hAnsi="Times New Roman" w:cs="Times New Roman"/>
              </w:rPr>
              <w:t>’</w:t>
            </w:r>
            <w:r w:rsidR="005572E6">
              <w:rPr>
                <w:rStyle w:val="normaltextrun"/>
                <w:rFonts w:ascii="Times New Roman" w:hAnsi="Times New Roman" w:cs="Times New Roman"/>
              </w:rPr>
              <w:t>s employment</w:t>
            </w:r>
            <w:r w:rsidRPr="00CD2F11">
              <w:rPr>
                <w:rStyle w:val="normaltextrun"/>
                <w:rFonts w:ascii="Times New Roman" w:hAnsi="Times New Roman" w:cs="Times New Roman"/>
              </w:rPr>
              <w:t xml:space="preserve"> in relation to working hours and type of employment. </w:t>
            </w:r>
            <w:r w:rsidR="009836C1">
              <w:rPr>
                <w:rStyle w:val="normaltextrun"/>
                <w:rFonts w:ascii="Times New Roman" w:hAnsi="Times New Roman" w:cs="Times New Roman"/>
              </w:rPr>
              <w:t xml:space="preserve">It is hoped </w:t>
            </w:r>
            <w:r w:rsidR="00BD252E">
              <w:rPr>
                <w:rStyle w:val="normaltextrun"/>
                <w:rFonts w:ascii="Times New Roman" w:hAnsi="Times New Roman" w:cs="Times New Roman"/>
              </w:rPr>
              <w:t xml:space="preserve">that </w:t>
            </w:r>
            <w:r w:rsidR="009836C1">
              <w:rPr>
                <w:rStyle w:val="normaltextrun"/>
                <w:rFonts w:ascii="Times New Roman" w:hAnsi="Times New Roman" w:cs="Times New Roman"/>
              </w:rPr>
              <w:t>this will</w:t>
            </w:r>
            <w:r w:rsidR="00BE0137" w:rsidRPr="00CD2F11">
              <w:rPr>
                <w:rStyle w:val="normaltextrun"/>
                <w:rFonts w:ascii="Times New Roman" w:hAnsi="Times New Roman" w:cs="Times New Roman"/>
              </w:rPr>
              <w:t xml:space="preserve"> </w:t>
            </w:r>
            <w:r w:rsidRPr="00CD2F11">
              <w:rPr>
                <w:rStyle w:val="normaltextrun"/>
                <w:rFonts w:ascii="Times New Roman" w:hAnsi="Times New Roman" w:cs="Times New Roman"/>
              </w:rPr>
              <w:t>increase women’s participation in the private sector.</w:t>
            </w:r>
          </w:p>
          <w:p w14:paraId="6E148E7D" w14:textId="3F405F7D" w:rsidR="009729EE" w:rsidRPr="00CD2F11" w:rsidRDefault="009729EE" w:rsidP="006C1F44">
            <w:pPr>
              <w:jc w:val="both"/>
              <w:rPr>
                <w:rFonts w:ascii="Times New Roman" w:hAnsi="Times New Roman" w:cs="Times New Roman"/>
              </w:rPr>
            </w:pPr>
          </w:p>
          <w:p w14:paraId="239C22F7" w14:textId="37F62E6E" w:rsidR="009729EE" w:rsidRPr="00CD2F11" w:rsidRDefault="009729EE" w:rsidP="006C1F44">
            <w:pPr>
              <w:jc w:val="both"/>
              <w:rPr>
                <w:rFonts w:ascii="Times New Roman" w:hAnsi="Times New Roman" w:cs="Times New Roman"/>
              </w:rPr>
            </w:pPr>
          </w:p>
          <w:p w14:paraId="7A5FFD7C" w14:textId="77777777" w:rsidR="009729EE" w:rsidRPr="00CD2F11" w:rsidRDefault="009729EE" w:rsidP="006C1F44">
            <w:pPr>
              <w:jc w:val="both"/>
              <w:rPr>
                <w:rFonts w:ascii="Times New Roman" w:hAnsi="Times New Roman" w:cs="Times New Roman"/>
              </w:rPr>
            </w:pPr>
          </w:p>
          <w:p w14:paraId="3F0A77E8" w14:textId="04FC6802" w:rsidR="00017B0E" w:rsidRPr="00CD2F11" w:rsidRDefault="00BD1CBA" w:rsidP="009729EE">
            <w:pPr>
              <w:jc w:val="both"/>
              <w:rPr>
                <w:rFonts w:ascii="Times New Roman" w:hAnsi="Times New Roman" w:cs="Times New Roman"/>
              </w:rPr>
            </w:pPr>
            <w:r w:rsidRPr="00CD2F11">
              <w:rPr>
                <w:rStyle w:val="normaltextrun"/>
                <w:rFonts w:ascii="Times New Roman" w:hAnsi="Times New Roman" w:cs="Times New Roman"/>
              </w:rPr>
              <w:t xml:space="preserve"> </w:t>
            </w:r>
          </w:p>
        </w:tc>
      </w:tr>
      <w:tr w:rsidR="009729EE" w:rsidRPr="00CD2F11" w14:paraId="4EA354B0" w14:textId="77777777" w:rsidTr="00EF6312">
        <w:tc>
          <w:tcPr>
            <w:tcW w:w="3325" w:type="dxa"/>
            <w:shd w:val="clear" w:color="auto" w:fill="D9E2F3" w:themeFill="accent1" w:themeFillTint="33"/>
          </w:tcPr>
          <w:p w14:paraId="6E417460" w14:textId="77777777" w:rsidR="009729EE" w:rsidRPr="00CD2F11" w:rsidRDefault="009729EE" w:rsidP="009729EE">
            <w:pPr>
              <w:rPr>
                <w:rFonts w:ascii="Times New Roman" w:hAnsi="Times New Roman" w:cs="Times New Roman"/>
                <w:b/>
                <w:bCs/>
              </w:rPr>
            </w:pPr>
            <w:r w:rsidRPr="00CD2F11">
              <w:rPr>
                <w:rFonts w:ascii="Times New Roman" w:hAnsi="Times New Roman" w:cs="Times New Roman"/>
                <w:b/>
                <w:bCs/>
              </w:rPr>
              <w:t xml:space="preserve">Absence of government-funded childcare infrastructure, financial support to private sector, or community-based childcare services in Indonesia. </w:t>
            </w:r>
          </w:p>
          <w:p w14:paraId="73747639" w14:textId="77777777" w:rsidR="009729EE" w:rsidRPr="00CD2F11" w:rsidRDefault="009729EE" w:rsidP="00BA5F3B">
            <w:pPr>
              <w:jc w:val="both"/>
              <w:rPr>
                <w:rFonts w:ascii="Times New Roman" w:hAnsi="Times New Roman" w:cs="Times New Roman"/>
                <w:b/>
                <w:bCs/>
              </w:rPr>
            </w:pPr>
          </w:p>
        </w:tc>
        <w:tc>
          <w:tcPr>
            <w:tcW w:w="6030" w:type="dxa"/>
            <w:shd w:val="clear" w:color="auto" w:fill="D9E2F3" w:themeFill="accent1" w:themeFillTint="33"/>
          </w:tcPr>
          <w:p w14:paraId="622EBCD0" w14:textId="440EBE73" w:rsidR="009729EE" w:rsidRPr="00257C23" w:rsidRDefault="00EF6312" w:rsidP="00EF6312">
            <w:pPr>
              <w:jc w:val="both"/>
              <w:rPr>
                <w:rFonts w:ascii="Times New Roman" w:hAnsi="Times New Roman" w:cs="Times New Roman"/>
              </w:rPr>
            </w:pPr>
            <w:r w:rsidRPr="00257C23">
              <w:rPr>
                <w:rFonts w:ascii="Times New Roman" w:hAnsi="Times New Roman" w:cs="Times New Roman"/>
              </w:rPr>
              <w:t>a.</w:t>
            </w:r>
            <w:r w:rsidRPr="00257C23">
              <w:rPr>
                <w:rFonts w:ascii="Times New Roman" w:hAnsi="Times New Roman" w:cs="Times New Roman"/>
                <w:b/>
                <w:bCs/>
              </w:rPr>
              <w:t xml:space="preserve"> </w:t>
            </w:r>
            <w:r w:rsidR="004D48AF">
              <w:rPr>
                <w:rFonts w:ascii="Times New Roman" w:hAnsi="Times New Roman" w:cs="Times New Roman"/>
                <w:b/>
                <w:bCs/>
              </w:rPr>
              <w:t xml:space="preserve">The Republic of </w:t>
            </w:r>
            <w:r w:rsidR="009729EE" w:rsidRPr="00257C23">
              <w:rPr>
                <w:rFonts w:ascii="Times New Roman" w:hAnsi="Times New Roman" w:cs="Times New Roman"/>
                <w:b/>
                <w:bCs/>
              </w:rPr>
              <w:t>Korea</w:t>
            </w:r>
            <w:r w:rsidR="009729EE" w:rsidRPr="00257C23">
              <w:rPr>
                <w:rFonts w:ascii="Times New Roman" w:hAnsi="Times New Roman" w:cs="Times New Roman"/>
              </w:rPr>
              <w:t xml:space="preserve"> has constructed an extensive system of affordable </w:t>
            </w:r>
            <w:r w:rsidR="00765E41">
              <w:rPr>
                <w:rFonts w:ascii="Times New Roman" w:hAnsi="Times New Roman" w:cs="Times New Roman"/>
              </w:rPr>
              <w:t>e</w:t>
            </w:r>
            <w:r w:rsidR="00765E41" w:rsidRPr="00765E41">
              <w:rPr>
                <w:rFonts w:ascii="Times New Roman" w:hAnsi="Times New Roman" w:cs="Times New Roman"/>
              </w:rPr>
              <w:t xml:space="preserve">arly childhood education and care </w:t>
            </w:r>
            <w:r w:rsidR="00765E41">
              <w:rPr>
                <w:rFonts w:ascii="Times New Roman" w:hAnsi="Times New Roman" w:cs="Times New Roman"/>
              </w:rPr>
              <w:t>(</w:t>
            </w:r>
            <w:r w:rsidR="009729EE" w:rsidRPr="00257C23">
              <w:rPr>
                <w:rFonts w:ascii="Times New Roman" w:hAnsi="Times New Roman" w:cs="Times New Roman"/>
              </w:rPr>
              <w:t>ECEC</w:t>
            </w:r>
            <w:r w:rsidR="00765E41">
              <w:rPr>
                <w:rFonts w:ascii="Times New Roman" w:hAnsi="Times New Roman" w:cs="Times New Roman"/>
              </w:rPr>
              <w:t>)</w:t>
            </w:r>
            <w:r w:rsidR="009729EE" w:rsidRPr="00257C23">
              <w:rPr>
                <w:rFonts w:ascii="Times New Roman" w:hAnsi="Times New Roman" w:cs="Times New Roman"/>
              </w:rPr>
              <w:t xml:space="preserve"> through public and private services. Policies implemented by </w:t>
            </w:r>
            <w:r w:rsidR="004D48AF">
              <w:rPr>
                <w:rFonts w:ascii="Times New Roman" w:hAnsi="Times New Roman" w:cs="Times New Roman"/>
              </w:rPr>
              <w:t xml:space="preserve">the Rep. of </w:t>
            </w:r>
            <w:r w:rsidR="009729EE" w:rsidRPr="00257C23">
              <w:rPr>
                <w:rFonts w:ascii="Times New Roman" w:hAnsi="Times New Roman" w:cs="Times New Roman"/>
              </w:rPr>
              <w:t xml:space="preserve">Korea include direct subsidies to many providers and generous childcare benefits for parents. </w:t>
            </w:r>
            <w:r w:rsidR="005572E6" w:rsidRPr="00257C23">
              <w:rPr>
                <w:rFonts w:ascii="Times New Roman" w:hAnsi="Times New Roman" w:cs="Times New Roman"/>
              </w:rPr>
              <w:t>As</w:t>
            </w:r>
            <w:r w:rsidR="009729EE" w:rsidRPr="00257C23">
              <w:rPr>
                <w:rFonts w:ascii="Times New Roman" w:hAnsi="Times New Roman" w:cs="Times New Roman"/>
              </w:rPr>
              <w:t xml:space="preserve"> a result, the share of children under age </w:t>
            </w:r>
            <w:r w:rsidR="004D48AF">
              <w:rPr>
                <w:rFonts w:ascii="Times New Roman" w:hAnsi="Times New Roman" w:cs="Times New Roman"/>
              </w:rPr>
              <w:t>3</w:t>
            </w:r>
            <w:r w:rsidR="009729EE" w:rsidRPr="00257C23">
              <w:rPr>
                <w:rFonts w:ascii="Times New Roman" w:hAnsi="Times New Roman" w:cs="Times New Roman"/>
              </w:rPr>
              <w:t xml:space="preserve"> enrolled in ECEC increased from 3</w:t>
            </w:r>
            <w:r w:rsidR="004D48AF">
              <w:rPr>
                <w:rFonts w:ascii="Times New Roman" w:hAnsi="Times New Roman" w:cs="Times New Roman"/>
              </w:rPr>
              <w:t xml:space="preserve"> percent</w:t>
            </w:r>
            <w:r w:rsidR="009729EE" w:rsidRPr="00257C23">
              <w:rPr>
                <w:rFonts w:ascii="Times New Roman" w:hAnsi="Times New Roman" w:cs="Times New Roman"/>
              </w:rPr>
              <w:t xml:space="preserve"> in 2001 to 41</w:t>
            </w:r>
            <w:r w:rsidR="004D48AF">
              <w:rPr>
                <w:rFonts w:ascii="Times New Roman" w:hAnsi="Times New Roman" w:cs="Times New Roman"/>
              </w:rPr>
              <w:t xml:space="preserve"> percent</w:t>
            </w:r>
            <w:r w:rsidR="009729EE" w:rsidRPr="00257C23">
              <w:rPr>
                <w:rFonts w:ascii="Times New Roman" w:hAnsi="Times New Roman" w:cs="Times New Roman"/>
              </w:rPr>
              <w:t xml:space="preserve"> in 2018.  </w:t>
            </w:r>
          </w:p>
          <w:p w14:paraId="360E5839" w14:textId="77777777" w:rsidR="009729EE" w:rsidRPr="00257C23" w:rsidRDefault="009729EE" w:rsidP="009729EE">
            <w:pPr>
              <w:jc w:val="both"/>
              <w:rPr>
                <w:rFonts w:ascii="Times New Roman" w:hAnsi="Times New Roman" w:cs="Times New Roman"/>
              </w:rPr>
            </w:pPr>
          </w:p>
          <w:p w14:paraId="5F5B4252" w14:textId="6641F4DB" w:rsidR="009729EE" w:rsidRPr="00257C23" w:rsidRDefault="009729EE" w:rsidP="009729EE">
            <w:pPr>
              <w:shd w:val="clear" w:color="auto" w:fill="D9E2F3" w:themeFill="accent1" w:themeFillTint="33"/>
              <w:tabs>
                <w:tab w:val="left" w:pos="1260"/>
              </w:tabs>
              <w:ind w:left="1350" w:hanging="270"/>
              <w:rPr>
                <w:rFonts w:ascii="Times New Roman" w:hAnsi="Times New Roman" w:cs="Times New Roman"/>
                <w:b/>
                <w:bCs/>
              </w:rPr>
            </w:pPr>
            <w:r w:rsidRPr="00257C23">
              <w:rPr>
                <w:rFonts w:ascii="Times New Roman" w:hAnsi="Times New Roman" w:cs="Times New Roman"/>
                <w:b/>
                <w:bCs/>
                <w:noProof/>
              </w:rPr>
              <w:drawing>
                <wp:inline distT="0" distB="0" distL="0" distR="0" wp14:anchorId="23C0BDD9" wp14:editId="343FF95C">
                  <wp:extent cx="317500" cy="317500"/>
                  <wp:effectExtent l="0" t="0" r="0" b="6350"/>
                  <wp:docPr id="1" name="Graphic 1" descr="Woman with bab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Woman with baby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7500" cy="317500"/>
                          </a:xfrm>
                          <a:prstGeom prst="rect">
                            <a:avLst/>
                          </a:prstGeom>
                        </pic:spPr>
                      </pic:pic>
                    </a:graphicData>
                  </a:graphic>
                </wp:inline>
              </w:drawing>
            </w:r>
            <w:r w:rsidRPr="00257C23">
              <w:rPr>
                <w:rFonts w:ascii="Times New Roman" w:hAnsi="Times New Roman" w:cs="Times New Roman"/>
                <w:b/>
                <w:bCs/>
              </w:rPr>
              <w:t xml:space="preserve">Link to </w:t>
            </w:r>
            <w:hyperlink r:id="rId15" w:history="1">
              <w:r w:rsidRPr="00257C23">
                <w:rPr>
                  <w:rStyle w:val="Hyperlink"/>
                  <w:rFonts w:ascii="Times New Roman" w:hAnsi="Times New Roman" w:cs="Times New Roman"/>
                  <w:b/>
                  <w:bCs/>
                </w:rPr>
                <w:t>Childcare Act</w:t>
              </w:r>
            </w:hyperlink>
          </w:p>
          <w:p w14:paraId="4B0C25CB" w14:textId="77777777" w:rsidR="009729EE" w:rsidRPr="00257C23" w:rsidRDefault="009729EE" w:rsidP="009729EE">
            <w:pPr>
              <w:shd w:val="clear" w:color="auto" w:fill="D9E2F3" w:themeFill="accent1" w:themeFillTint="33"/>
              <w:tabs>
                <w:tab w:val="left" w:pos="1260"/>
              </w:tabs>
              <w:ind w:left="1170" w:hanging="90"/>
              <w:rPr>
                <w:rFonts w:ascii="Times New Roman" w:hAnsi="Times New Roman" w:cs="Times New Roman"/>
              </w:rPr>
            </w:pPr>
            <w:r w:rsidRPr="00257C23">
              <w:rPr>
                <w:rFonts w:ascii="Times New Roman" w:hAnsi="Times New Roman" w:cs="Times New Roman"/>
                <w:b/>
                <w:bCs/>
                <w:noProof/>
              </w:rPr>
              <w:drawing>
                <wp:inline distT="0" distB="0" distL="0" distR="0" wp14:anchorId="154E1BDC" wp14:editId="708F8DCD">
                  <wp:extent cx="285750" cy="285750"/>
                  <wp:effectExtent l="0" t="0" r="0" b="0"/>
                  <wp:docPr id="2" name="Graphic 2" descr="Serv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erver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257C23">
              <w:rPr>
                <w:rFonts w:ascii="Times New Roman" w:hAnsi="Times New Roman" w:cs="Times New Roman"/>
                <w:b/>
                <w:bCs/>
              </w:rPr>
              <w:t xml:space="preserve">Link to the </w:t>
            </w:r>
            <w:hyperlink r:id="rId18" w:history="1">
              <w:r w:rsidRPr="00257C23">
                <w:rPr>
                  <w:rStyle w:val="Hyperlink"/>
                  <w:rFonts w:ascii="Times New Roman" w:hAnsi="Times New Roman" w:cs="Times New Roman"/>
                  <w:b/>
                  <w:bCs/>
                </w:rPr>
                <w:t>provided services</w:t>
              </w:r>
            </w:hyperlink>
            <w:r w:rsidRPr="00257C23">
              <w:rPr>
                <w:rFonts w:ascii="Times New Roman" w:hAnsi="Times New Roman" w:cs="Times New Roman"/>
              </w:rPr>
              <w:t xml:space="preserve"> </w:t>
            </w:r>
          </w:p>
          <w:p w14:paraId="2C12CD11" w14:textId="77777777" w:rsidR="009729EE" w:rsidRPr="00257C23" w:rsidRDefault="009729EE" w:rsidP="009729EE">
            <w:pPr>
              <w:jc w:val="both"/>
              <w:rPr>
                <w:rFonts w:ascii="Times New Roman" w:hAnsi="Times New Roman" w:cs="Times New Roman"/>
              </w:rPr>
            </w:pPr>
          </w:p>
          <w:p w14:paraId="21D7AF05" w14:textId="523D73A5" w:rsidR="009729EE" w:rsidRDefault="009729EE" w:rsidP="009729EE">
            <w:pPr>
              <w:pStyle w:val="ListParagraph"/>
              <w:numPr>
                <w:ilvl w:val="0"/>
                <w:numId w:val="9"/>
              </w:numPr>
              <w:jc w:val="both"/>
              <w:rPr>
                <w:rStyle w:val="normaltextrun"/>
                <w:rFonts w:ascii="Times New Roman" w:hAnsi="Times New Roman" w:cs="Times New Roman"/>
              </w:rPr>
            </w:pPr>
            <w:r w:rsidRPr="00257C23">
              <w:rPr>
                <w:rStyle w:val="normaltextrun"/>
                <w:rFonts w:ascii="Times New Roman" w:hAnsi="Times New Roman" w:cs="Times New Roman"/>
                <w:b/>
                <w:bCs/>
              </w:rPr>
              <w:t>Japan</w:t>
            </w:r>
            <w:r w:rsidRPr="00257C23">
              <w:rPr>
                <w:rStyle w:val="normaltextrun"/>
                <w:rFonts w:ascii="Times New Roman" w:hAnsi="Times New Roman" w:cs="Times New Roman"/>
              </w:rPr>
              <w:t xml:space="preserve"> provides 14 weeks of paid </w:t>
            </w:r>
            <w:r w:rsidR="005E5547">
              <w:rPr>
                <w:rStyle w:val="normaltextrun"/>
                <w:rFonts w:ascii="Times New Roman" w:hAnsi="Times New Roman" w:cs="Times New Roman"/>
              </w:rPr>
              <w:t>childcare</w:t>
            </w:r>
            <w:r w:rsidRPr="00257C23">
              <w:rPr>
                <w:rStyle w:val="normaltextrun"/>
                <w:rFonts w:ascii="Times New Roman" w:hAnsi="Times New Roman" w:cs="Times New Roman"/>
              </w:rPr>
              <w:t xml:space="preserve"> leave (</w:t>
            </w:r>
            <w:r w:rsidR="000D0F5F" w:rsidRPr="007C033A">
              <w:rPr>
                <w:rFonts w:ascii="Times New Roman" w:hAnsi="Times New Roman" w:cs="Times New Roman"/>
              </w:rPr>
              <w:t>Childcare and Family Care Leave Act</w:t>
            </w:r>
            <w:r w:rsidR="00EC7A12">
              <w:rPr>
                <w:rFonts w:ascii="Times New Roman" w:hAnsi="Times New Roman" w:cs="Times New Roman"/>
              </w:rPr>
              <w:t>, Art 9</w:t>
            </w:r>
            <w:r w:rsidRPr="00257C23">
              <w:rPr>
                <w:rStyle w:val="normaltextrun"/>
                <w:rFonts w:ascii="Times New Roman" w:hAnsi="Times New Roman" w:cs="Times New Roman"/>
              </w:rPr>
              <w:t>)</w:t>
            </w:r>
            <w:r w:rsidR="004D48AF">
              <w:rPr>
                <w:rStyle w:val="normaltextrun"/>
                <w:rFonts w:ascii="Times New Roman" w:hAnsi="Times New Roman" w:cs="Times New Roman"/>
              </w:rPr>
              <w:t xml:space="preserve">. </w:t>
            </w:r>
          </w:p>
          <w:p w14:paraId="55E85F78" w14:textId="7BA25C0F" w:rsidR="009F197E" w:rsidRPr="00257C23" w:rsidRDefault="00331D3F" w:rsidP="009729EE">
            <w:pPr>
              <w:pStyle w:val="ListParagraph"/>
              <w:numPr>
                <w:ilvl w:val="0"/>
                <w:numId w:val="9"/>
              </w:numPr>
              <w:jc w:val="both"/>
              <w:rPr>
                <w:rStyle w:val="normaltextrun"/>
                <w:rFonts w:ascii="Times New Roman" w:hAnsi="Times New Roman" w:cs="Times New Roman"/>
              </w:rPr>
            </w:pPr>
            <w:hyperlink r:id="rId19" w:history="1">
              <w:r w:rsidR="006560D0">
                <w:rPr>
                  <w:rStyle w:val="Hyperlink"/>
                  <w:rFonts w:ascii="Times New Roman" w:hAnsi="Times New Roman" w:cs="Times New Roman"/>
                </w:rPr>
                <w:t xml:space="preserve">Iceland </w:t>
              </w:r>
            </w:hyperlink>
            <w:r w:rsidR="00F27197">
              <w:rPr>
                <w:rStyle w:val="normaltextrun"/>
                <w:rFonts w:ascii="Times New Roman" w:hAnsi="Times New Roman" w:cs="Times New Roman"/>
              </w:rPr>
              <w:t>provides t</w:t>
            </w:r>
            <w:r w:rsidR="00F27197" w:rsidRPr="00F27197">
              <w:rPr>
                <w:rStyle w:val="normaltextrun"/>
                <w:rFonts w:ascii="Times New Roman" w:hAnsi="Times New Roman" w:cs="Times New Roman"/>
              </w:rPr>
              <w:t>hree months of non-transferable leave with 80 per cent of salary</w:t>
            </w:r>
            <w:r w:rsidR="00F27197">
              <w:rPr>
                <w:rStyle w:val="normaltextrun"/>
                <w:rFonts w:ascii="Times New Roman" w:hAnsi="Times New Roman" w:cs="Times New Roman"/>
              </w:rPr>
              <w:t xml:space="preserve"> for both parents</w:t>
            </w:r>
          </w:p>
        </w:tc>
      </w:tr>
      <w:tr w:rsidR="00F12F24" w:rsidRPr="00CD2F11" w14:paraId="2859D335" w14:textId="77777777" w:rsidTr="00EF6312">
        <w:tc>
          <w:tcPr>
            <w:tcW w:w="3325" w:type="dxa"/>
            <w:shd w:val="clear" w:color="auto" w:fill="D9E2F3" w:themeFill="accent1" w:themeFillTint="33"/>
          </w:tcPr>
          <w:p w14:paraId="3412FF07" w14:textId="28F95F8C" w:rsidR="00F12F24" w:rsidRPr="00CD2F11" w:rsidRDefault="00F12F24" w:rsidP="009729EE">
            <w:pPr>
              <w:rPr>
                <w:rFonts w:ascii="Times New Roman" w:hAnsi="Times New Roman" w:cs="Times New Roman"/>
                <w:b/>
                <w:bCs/>
              </w:rPr>
            </w:pPr>
            <w:r w:rsidRPr="00CD2F11">
              <w:rPr>
                <w:rFonts w:ascii="Times New Roman" w:hAnsi="Times New Roman" w:cs="Times New Roman"/>
                <w:b/>
                <w:bCs/>
              </w:rPr>
              <w:lastRenderedPageBreak/>
              <w:t xml:space="preserve">Unclear provision for equal pay </w:t>
            </w:r>
          </w:p>
        </w:tc>
        <w:tc>
          <w:tcPr>
            <w:tcW w:w="6030" w:type="dxa"/>
            <w:shd w:val="clear" w:color="auto" w:fill="D9E2F3" w:themeFill="accent1" w:themeFillTint="33"/>
          </w:tcPr>
          <w:p w14:paraId="5C1E776A" w14:textId="3C9E7ED0" w:rsidR="007922A1" w:rsidRDefault="00A13EEE" w:rsidP="00A13EEE">
            <w:pPr>
              <w:pStyle w:val="paragraph"/>
              <w:spacing w:before="0" w:beforeAutospacing="0" w:after="0" w:afterAutospacing="0"/>
              <w:jc w:val="both"/>
              <w:textAlignment w:val="baseline"/>
              <w:rPr>
                <w:sz w:val="22"/>
                <w:szCs w:val="22"/>
              </w:rPr>
            </w:pPr>
            <w:r w:rsidRPr="00A13EEE">
              <w:rPr>
                <w:b/>
                <w:bCs/>
                <w:sz w:val="22"/>
                <w:szCs w:val="22"/>
              </w:rPr>
              <w:t>a.</w:t>
            </w:r>
            <w:r>
              <w:rPr>
                <w:b/>
                <w:bCs/>
                <w:sz w:val="22"/>
                <w:szCs w:val="22"/>
              </w:rPr>
              <w:t xml:space="preserve"> </w:t>
            </w:r>
            <w:r w:rsidR="00F12F24" w:rsidRPr="00DE28C3">
              <w:rPr>
                <w:b/>
                <w:bCs/>
                <w:sz w:val="22"/>
                <w:szCs w:val="22"/>
              </w:rPr>
              <w:t xml:space="preserve">Saudi </w:t>
            </w:r>
            <w:r w:rsidR="005572E6">
              <w:rPr>
                <w:b/>
                <w:bCs/>
                <w:sz w:val="22"/>
                <w:szCs w:val="22"/>
              </w:rPr>
              <w:t>Arabia's labor law provides equal pay rights and equal opportunities for females and males</w:t>
            </w:r>
            <w:r w:rsidR="004B3138" w:rsidRPr="00CD2F11">
              <w:rPr>
                <w:sz w:val="22"/>
                <w:szCs w:val="22"/>
              </w:rPr>
              <w:t>.</w:t>
            </w:r>
            <w:r w:rsidR="00F12F24" w:rsidRPr="00CD2F11">
              <w:rPr>
                <w:sz w:val="22"/>
                <w:szCs w:val="22"/>
              </w:rPr>
              <w:t xml:space="preserve"> </w:t>
            </w:r>
            <w:r w:rsidR="004B3138" w:rsidRPr="00CD2F11">
              <w:rPr>
                <w:sz w:val="22"/>
                <w:szCs w:val="22"/>
              </w:rPr>
              <w:t>I</w:t>
            </w:r>
            <w:r w:rsidR="00F12F24" w:rsidRPr="00CD2F11">
              <w:rPr>
                <w:sz w:val="22"/>
                <w:szCs w:val="22"/>
              </w:rPr>
              <w:t xml:space="preserve">t also amended the definition of a worker to include both male and female workers. According to Art. 3 of </w:t>
            </w:r>
            <w:r w:rsidR="004D48AF">
              <w:rPr>
                <w:sz w:val="22"/>
                <w:szCs w:val="22"/>
              </w:rPr>
              <w:t xml:space="preserve">the </w:t>
            </w:r>
            <w:r w:rsidR="00F12F24" w:rsidRPr="00CD2F11">
              <w:rPr>
                <w:sz w:val="22"/>
                <w:szCs w:val="22"/>
              </w:rPr>
              <w:t xml:space="preserve">Saudi </w:t>
            </w:r>
            <w:r w:rsidR="00765E41">
              <w:rPr>
                <w:sz w:val="22"/>
                <w:szCs w:val="22"/>
              </w:rPr>
              <w:t xml:space="preserve">Arabian </w:t>
            </w:r>
            <w:r w:rsidR="00F12F24" w:rsidRPr="00CD2F11">
              <w:rPr>
                <w:sz w:val="22"/>
                <w:szCs w:val="22"/>
              </w:rPr>
              <w:t>Labor Law</w:t>
            </w:r>
            <w:r w:rsidR="00B86A99">
              <w:rPr>
                <w:sz w:val="22"/>
                <w:szCs w:val="22"/>
              </w:rPr>
              <w:t xml:space="preserve"> (Kingdom of Saudi Arabia 2005)</w:t>
            </w:r>
            <w:r w:rsidR="00F12F24" w:rsidRPr="00CD2F11">
              <w:rPr>
                <w:sz w:val="22"/>
                <w:szCs w:val="22"/>
              </w:rPr>
              <w:t xml:space="preserve"> work is a citizen’s right. All citizens have equal rights to work without discrimination based on gender, disability, age, or any other form of discrimination, whether during </w:t>
            </w:r>
            <w:r w:rsidR="005572E6">
              <w:rPr>
                <w:sz w:val="22"/>
                <w:szCs w:val="22"/>
              </w:rPr>
              <w:t>the work or hiring process</w:t>
            </w:r>
            <w:r w:rsidR="004D48AF">
              <w:rPr>
                <w:sz w:val="22"/>
                <w:szCs w:val="22"/>
              </w:rPr>
              <w:t>,</w:t>
            </w:r>
            <w:r w:rsidR="00F12F24" w:rsidRPr="00CD2F11">
              <w:rPr>
                <w:sz w:val="22"/>
                <w:szCs w:val="22"/>
              </w:rPr>
              <w:t xml:space="preserve"> or when the position is advertised</w:t>
            </w:r>
            <w:r w:rsidR="004B3138" w:rsidRPr="00CD2F11">
              <w:rPr>
                <w:sz w:val="22"/>
                <w:szCs w:val="22"/>
              </w:rPr>
              <w:t>.</w:t>
            </w:r>
          </w:p>
          <w:p w14:paraId="53065A27" w14:textId="77777777" w:rsidR="00A13EEE" w:rsidRDefault="00A13EEE" w:rsidP="00A13EEE">
            <w:pPr>
              <w:pStyle w:val="paragraph"/>
              <w:spacing w:before="0" w:beforeAutospacing="0" w:after="0" w:afterAutospacing="0"/>
              <w:jc w:val="both"/>
              <w:textAlignment w:val="baseline"/>
              <w:rPr>
                <w:b/>
                <w:bCs/>
                <w:sz w:val="22"/>
                <w:szCs w:val="22"/>
              </w:rPr>
            </w:pPr>
          </w:p>
          <w:p w14:paraId="2209AC2D" w14:textId="6B638D9C" w:rsidR="00A13EEE" w:rsidRDefault="00A13EEE" w:rsidP="00A13EEE">
            <w:pPr>
              <w:pStyle w:val="paragraph"/>
              <w:spacing w:before="0" w:beforeAutospacing="0" w:after="0" w:afterAutospacing="0"/>
              <w:jc w:val="both"/>
              <w:textAlignment w:val="baseline"/>
              <w:rPr>
                <w:sz w:val="22"/>
                <w:szCs w:val="22"/>
              </w:rPr>
            </w:pPr>
            <w:r>
              <w:rPr>
                <w:b/>
                <w:bCs/>
                <w:sz w:val="22"/>
                <w:szCs w:val="22"/>
              </w:rPr>
              <w:t xml:space="preserve">c. </w:t>
            </w:r>
            <w:hyperlink r:id="rId20" w:anchor=":~:text=In%20Jordan%2C%20statistics%20show%20that,less%20than%20their%20male%20counterparts." w:history="1">
              <w:r w:rsidRPr="007C54DD">
                <w:rPr>
                  <w:rStyle w:val="Hyperlink"/>
                  <w:b/>
                  <w:bCs/>
                  <w:sz w:val="22"/>
                  <w:szCs w:val="22"/>
                </w:rPr>
                <w:t>Jordan</w:t>
              </w:r>
            </w:hyperlink>
            <w:r>
              <w:rPr>
                <w:b/>
                <w:bCs/>
                <w:sz w:val="22"/>
                <w:szCs w:val="22"/>
              </w:rPr>
              <w:t xml:space="preserve"> </w:t>
            </w:r>
            <w:r w:rsidR="002A4A8A">
              <w:rPr>
                <w:b/>
                <w:bCs/>
                <w:sz w:val="22"/>
                <w:szCs w:val="22"/>
              </w:rPr>
              <w:t xml:space="preserve">has recently made significant efforts </w:t>
            </w:r>
            <w:r w:rsidR="002B17F6">
              <w:rPr>
                <w:b/>
                <w:bCs/>
                <w:sz w:val="22"/>
                <w:szCs w:val="22"/>
              </w:rPr>
              <w:t xml:space="preserve">implement </w:t>
            </w:r>
            <w:r w:rsidR="002B17F6" w:rsidRPr="002B17F6">
              <w:rPr>
                <w:b/>
                <w:bCs/>
                <w:sz w:val="22"/>
                <w:szCs w:val="22"/>
              </w:rPr>
              <w:t xml:space="preserve"> and enforce of equal pay initiatives. </w:t>
            </w:r>
            <w:r w:rsidR="007C54DD">
              <w:rPr>
                <w:sz w:val="22"/>
                <w:szCs w:val="22"/>
              </w:rPr>
              <w:t>The</w:t>
            </w:r>
            <w:r w:rsidR="002B17F6" w:rsidRPr="007C54DD">
              <w:rPr>
                <w:sz w:val="22"/>
                <w:szCs w:val="22"/>
              </w:rPr>
              <w:t xml:space="preserve"> </w:t>
            </w:r>
            <w:proofErr w:type="spellStart"/>
            <w:r w:rsidR="002B17F6" w:rsidRPr="007C54DD">
              <w:rPr>
                <w:sz w:val="22"/>
                <w:szCs w:val="22"/>
              </w:rPr>
              <w:t>GoJ</w:t>
            </w:r>
            <w:proofErr w:type="spellEnd"/>
            <w:r w:rsidR="002B17F6" w:rsidRPr="007C54DD">
              <w:rPr>
                <w:sz w:val="22"/>
                <w:szCs w:val="22"/>
              </w:rPr>
              <w:t xml:space="preserve"> has been exploring interesting initiatives on this such as digitization of wage payments for easier tracking among others</w:t>
            </w:r>
            <w:r w:rsidR="007C54DD">
              <w:rPr>
                <w:sz w:val="22"/>
                <w:szCs w:val="22"/>
              </w:rPr>
              <w:t xml:space="preserve">. </w:t>
            </w:r>
          </w:p>
          <w:p w14:paraId="03C103E5" w14:textId="77777777" w:rsidR="007922A1" w:rsidRDefault="007922A1" w:rsidP="007922A1">
            <w:pPr>
              <w:pStyle w:val="paragraph"/>
              <w:spacing w:before="0" w:beforeAutospacing="0" w:after="0" w:afterAutospacing="0"/>
              <w:jc w:val="both"/>
              <w:textAlignment w:val="baseline"/>
              <w:rPr>
                <w:b/>
                <w:bCs/>
                <w:sz w:val="22"/>
                <w:szCs w:val="22"/>
              </w:rPr>
            </w:pPr>
          </w:p>
          <w:p w14:paraId="506EC83E" w14:textId="1AC47445" w:rsidR="004B3138" w:rsidRPr="00EF6312" w:rsidRDefault="007922A1" w:rsidP="007922A1">
            <w:pPr>
              <w:pStyle w:val="paragraph"/>
              <w:spacing w:before="0" w:beforeAutospacing="0" w:after="0" w:afterAutospacing="0"/>
              <w:jc w:val="both"/>
              <w:textAlignment w:val="baseline"/>
              <w:rPr>
                <w:sz w:val="22"/>
                <w:szCs w:val="22"/>
              </w:rPr>
            </w:pPr>
            <w:r>
              <w:rPr>
                <w:b/>
                <w:bCs/>
              </w:rPr>
              <w:t xml:space="preserve">b. </w:t>
            </w:r>
            <w:r w:rsidR="00D81B55" w:rsidRPr="007922A1">
              <w:rPr>
                <w:b/>
                <w:bCs/>
              </w:rPr>
              <w:t>M</w:t>
            </w:r>
            <w:r w:rsidR="004B3138" w:rsidRPr="007922A1">
              <w:rPr>
                <w:b/>
                <w:bCs/>
              </w:rPr>
              <w:t>andatory measures for equal pay can also be found in French</w:t>
            </w:r>
            <w:r w:rsidR="009836C1" w:rsidRPr="007922A1">
              <w:rPr>
                <w:b/>
                <w:bCs/>
              </w:rPr>
              <w:t xml:space="preserve"> law</w:t>
            </w:r>
            <w:r w:rsidR="004B3138" w:rsidRPr="007922A1">
              <w:rPr>
                <w:b/>
                <w:bCs/>
              </w:rPr>
              <w:t>.</w:t>
            </w:r>
            <w:r w:rsidR="009836C1">
              <w:rPr>
                <w:sz w:val="22"/>
                <w:szCs w:val="22"/>
              </w:rPr>
              <w:t xml:space="preserve"> For example, </w:t>
            </w:r>
            <w:hyperlink r:id="rId21" w:history="1">
              <w:r w:rsidR="004B3138" w:rsidRPr="00EF6312">
                <w:rPr>
                  <w:rStyle w:val="Hyperlink"/>
                  <w:sz w:val="22"/>
                  <w:szCs w:val="22"/>
                </w:rPr>
                <w:t xml:space="preserve">Decree 2022-243 on </w:t>
              </w:r>
              <w:r w:rsidR="005572E6">
                <w:rPr>
                  <w:rStyle w:val="Hyperlink"/>
                  <w:sz w:val="22"/>
                  <w:szCs w:val="22"/>
                </w:rPr>
                <w:t xml:space="preserve">the </w:t>
              </w:r>
              <w:r w:rsidR="004B3138" w:rsidRPr="00EF6312">
                <w:rPr>
                  <w:rStyle w:val="Hyperlink"/>
                  <w:sz w:val="22"/>
                  <w:szCs w:val="22"/>
                </w:rPr>
                <w:t>Gender Equality Index</w:t>
              </w:r>
            </w:hyperlink>
            <w:r w:rsidR="004B3138" w:rsidRPr="00EF6312">
              <w:rPr>
                <w:sz w:val="22"/>
                <w:szCs w:val="22"/>
              </w:rPr>
              <w:t xml:space="preserve"> requires French companies with more than 50 employees to publish the score obtained on the gender equality index </w:t>
            </w:r>
            <w:r w:rsidR="005572E6">
              <w:rPr>
                <w:sz w:val="22"/>
                <w:szCs w:val="22"/>
              </w:rPr>
              <w:t>every year</w:t>
            </w:r>
            <w:r w:rsidR="004B3138" w:rsidRPr="00EF6312">
              <w:rPr>
                <w:sz w:val="22"/>
                <w:szCs w:val="22"/>
              </w:rPr>
              <w:t xml:space="preserve"> on their website. If it is less than 75 out of 100, they have three years to comply. Otherwise, they are financially sanctioned up to 1</w:t>
            </w:r>
            <w:r w:rsidR="0080284C">
              <w:rPr>
                <w:sz w:val="22"/>
                <w:szCs w:val="22"/>
              </w:rPr>
              <w:t xml:space="preserve"> percent</w:t>
            </w:r>
            <w:r w:rsidR="004B3138" w:rsidRPr="00EF6312">
              <w:rPr>
                <w:sz w:val="22"/>
                <w:szCs w:val="22"/>
              </w:rPr>
              <w:t xml:space="preserve"> of their payroll.</w:t>
            </w:r>
            <w:r w:rsidR="009836C1" w:rsidDel="009836C1">
              <w:rPr>
                <w:sz w:val="22"/>
                <w:szCs w:val="22"/>
              </w:rPr>
              <w:t xml:space="preserve"> </w:t>
            </w:r>
          </w:p>
          <w:p w14:paraId="57CE81E3" w14:textId="77777777" w:rsidR="00F12F24" w:rsidRPr="00CD2F11" w:rsidRDefault="00F12F24" w:rsidP="009729EE">
            <w:pPr>
              <w:jc w:val="both"/>
              <w:rPr>
                <w:rFonts w:ascii="Times New Roman" w:hAnsi="Times New Roman" w:cs="Times New Roman"/>
              </w:rPr>
            </w:pPr>
          </w:p>
        </w:tc>
      </w:tr>
    </w:tbl>
    <w:p w14:paraId="49B7D083" w14:textId="77777777" w:rsidR="00577B2E" w:rsidRPr="00CD2F11" w:rsidRDefault="00577B2E" w:rsidP="00A97D38">
      <w:pPr>
        <w:spacing w:after="120" w:line="240" w:lineRule="auto"/>
        <w:rPr>
          <w:rFonts w:ascii="Times New Roman" w:eastAsia="Times New Roman" w:hAnsi="Times New Roman" w:cs="Times New Roman"/>
        </w:rPr>
      </w:pPr>
    </w:p>
    <w:p w14:paraId="366C9E8E" w14:textId="7C14DA80" w:rsidR="00A97D38" w:rsidRPr="007A369B" w:rsidRDefault="00062252" w:rsidP="007A369B">
      <w:pPr>
        <w:spacing w:after="120" w:line="240" w:lineRule="auto"/>
        <w:ind w:left="50"/>
        <w:rPr>
          <w:rFonts w:ascii="Times New Roman" w:eastAsia="Times New Roman" w:hAnsi="Times New Roman" w:cs="Times New Roman"/>
          <w:b/>
          <w:bCs/>
        </w:rPr>
      </w:pPr>
      <w:r>
        <w:rPr>
          <w:rFonts w:ascii="Times New Roman" w:eastAsia="Times New Roman" w:hAnsi="Times New Roman" w:cs="Times New Roman"/>
          <w:b/>
          <w:bCs/>
        </w:rPr>
        <w:t xml:space="preserve">b. </w:t>
      </w:r>
      <w:r w:rsidR="00A952E9" w:rsidRPr="007A369B">
        <w:rPr>
          <w:rFonts w:ascii="Times New Roman" w:eastAsia="Times New Roman" w:hAnsi="Times New Roman" w:cs="Times New Roman"/>
          <w:b/>
          <w:bCs/>
        </w:rPr>
        <w:t xml:space="preserve">Taxes </w:t>
      </w:r>
    </w:p>
    <w:tbl>
      <w:tblPr>
        <w:tblStyle w:val="TableGrid"/>
        <w:tblpPr w:leftFromText="180" w:rightFromText="180" w:vertAnchor="text" w:horzAnchor="margin" w:tblpY="18"/>
        <w:tblW w:w="9355" w:type="dxa"/>
        <w:tblLayout w:type="fixed"/>
        <w:tblLook w:val="04A0" w:firstRow="1" w:lastRow="0" w:firstColumn="1" w:lastColumn="0" w:noHBand="0" w:noVBand="1"/>
      </w:tblPr>
      <w:tblGrid>
        <w:gridCol w:w="2965"/>
        <w:gridCol w:w="6390"/>
      </w:tblGrid>
      <w:tr w:rsidR="00513A6B" w:rsidRPr="00CD2F11" w14:paraId="7AC8FC9C" w14:textId="77777777" w:rsidTr="00EF6312">
        <w:tc>
          <w:tcPr>
            <w:tcW w:w="2965" w:type="dxa"/>
            <w:shd w:val="clear" w:color="auto" w:fill="D0CECE" w:themeFill="background2" w:themeFillShade="E6"/>
          </w:tcPr>
          <w:p w14:paraId="15717111" w14:textId="77777777" w:rsidR="00513A6B" w:rsidRPr="00CD2F11" w:rsidRDefault="00513A6B" w:rsidP="00491D3C">
            <w:pPr>
              <w:rPr>
                <w:rFonts w:ascii="Times New Roman" w:hAnsi="Times New Roman" w:cs="Times New Roman"/>
                <w:b/>
                <w:bCs/>
              </w:rPr>
            </w:pPr>
            <w:r w:rsidRPr="00CD2F11">
              <w:rPr>
                <w:rFonts w:ascii="Times New Roman" w:hAnsi="Times New Roman" w:cs="Times New Roman"/>
                <w:b/>
                <w:bCs/>
              </w:rPr>
              <w:t>Gaps</w:t>
            </w:r>
          </w:p>
        </w:tc>
        <w:tc>
          <w:tcPr>
            <w:tcW w:w="6390" w:type="dxa"/>
            <w:shd w:val="clear" w:color="auto" w:fill="D0CECE" w:themeFill="background2" w:themeFillShade="E6"/>
          </w:tcPr>
          <w:p w14:paraId="19F583EB" w14:textId="77777777" w:rsidR="00513A6B" w:rsidRPr="00CD2F11" w:rsidRDefault="00513A6B" w:rsidP="00491D3C">
            <w:pPr>
              <w:rPr>
                <w:rFonts w:ascii="Times New Roman" w:hAnsi="Times New Roman" w:cs="Times New Roman"/>
                <w:b/>
                <w:bCs/>
              </w:rPr>
            </w:pPr>
            <w:r w:rsidRPr="00CD2F11">
              <w:rPr>
                <w:rFonts w:ascii="Times New Roman" w:hAnsi="Times New Roman" w:cs="Times New Roman"/>
                <w:b/>
                <w:bCs/>
              </w:rPr>
              <w:t>Good examples</w:t>
            </w:r>
          </w:p>
          <w:p w14:paraId="7AD28F1B" w14:textId="77777777" w:rsidR="00513A6B" w:rsidRPr="00CD2F11" w:rsidRDefault="00513A6B" w:rsidP="00491D3C">
            <w:pPr>
              <w:rPr>
                <w:rFonts w:ascii="Times New Roman" w:hAnsi="Times New Roman" w:cs="Times New Roman"/>
                <w:b/>
                <w:bCs/>
              </w:rPr>
            </w:pPr>
          </w:p>
        </w:tc>
      </w:tr>
      <w:tr w:rsidR="00513A6B" w:rsidRPr="00CD2F11" w14:paraId="51246B2C" w14:textId="77777777" w:rsidTr="00EF6312">
        <w:tc>
          <w:tcPr>
            <w:tcW w:w="2965" w:type="dxa"/>
            <w:shd w:val="clear" w:color="auto" w:fill="D9E2F3" w:themeFill="accent1" w:themeFillTint="33"/>
          </w:tcPr>
          <w:p w14:paraId="0B8FEBFB" w14:textId="0121D242" w:rsidR="00513A6B" w:rsidRPr="00666C1D" w:rsidRDefault="00513A6B" w:rsidP="00EF6312">
            <w:pPr>
              <w:rPr>
                <w:rFonts w:ascii="Times New Roman" w:hAnsi="Times New Roman" w:cs="Times New Roman"/>
                <w:b/>
                <w:bCs/>
              </w:rPr>
            </w:pPr>
            <w:r w:rsidRPr="00666C1D">
              <w:rPr>
                <w:rFonts w:ascii="Times New Roman" w:hAnsi="Times New Roman" w:cs="Times New Roman"/>
                <w:b/>
                <w:bCs/>
              </w:rPr>
              <w:t>Different</w:t>
            </w:r>
            <w:r w:rsidR="00E24872" w:rsidRPr="00666C1D">
              <w:rPr>
                <w:rFonts w:ascii="Times New Roman" w:hAnsi="Times New Roman" w:cs="Times New Roman"/>
                <w:b/>
                <w:bCs/>
              </w:rPr>
              <w:t xml:space="preserve"> </w:t>
            </w:r>
            <w:r w:rsidR="005572E6" w:rsidRPr="00666C1D">
              <w:rPr>
                <w:rFonts w:ascii="Times New Roman" w:hAnsi="Times New Roman" w:cs="Times New Roman"/>
                <w:b/>
                <w:bCs/>
              </w:rPr>
              <w:t xml:space="preserve">taxation </w:t>
            </w:r>
            <w:r w:rsidRPr="00666C1D">
              <w:rPr>
                <w:rFonts w:ascii="Times New Roman" w:hAnsi="Times New Roman" w:cs="Times New Roman"/>
                <w:b/>
                <w:bCs/>
              </w:rPr>
              <w:t xml:space="preserve">mechanisms for married women and lack of supportive tax deductions </w:t>
            </w:r>
          </w:p>
          <w:p w14:paraId="2B5CA0AD" w14:textId="77777777" w:rsidR="00513A6B" w:rsidRPr="00CD2F11" w:rsidRDefault="00513A6B" w:rsidP="00491D3C">
            <w:pPr>
              <w:jc w:val="both"/>
              <w:rPr>
                <w:rFonts w:ascii="Times New Roman" w:hAnsi="Times New Roman" w:cs="Times New Roman"/>
              </w:rPr>
            </w:pPr>
          </w:p>
        </w:tc>
        <w:tc>
          <w:tcPr>
            <w:tcW w:w="6390" w:type="dxa"/>
            <w:shd w:val="clear" w:color="auto" w:fill="D9E2F3" w:themeFill="accent1" w:themeFillTint="33"/>
          </w:tcPr>
          <w:p w14:paraId="53D23111" w14:textId="12A09715" w:rsidR="00513A6B" w:rsidRPr="00CD2F11" w:rsidRDefault="00513A6B" w:rsidP="00DE28C3">
            <w:pPr>
              <w:pStyle w:val="ListParagraph"/>
              <w:numPr>
                <w:ilvl w:val="0"/>
                <w:numId w:val="10"/>
              </w:numPr>
              <w:jc w:val="both"/>
              <w:rPr>
                <w:rFonts w:ascii="Times New Roman" w:hAnsi="Times New Roman" w:cs="Times New Roman"/>
              </w:rPr>
            </w:pPr>
            <w:r w:rsidRPr="00CD2F11">
              <w:rPr>
                <w:rFonts w:ascii="Times New Roman" w:hAnsi="Times New Roman" w:cs="Times New Roman"/>
              </w:rPr>
              <w:t xml:space="preserve">In the </w:t>
            </w:r>
            <w:r w:rsidRPr="00EF6312">
              <w:rPr>
                <w:rFonts w:ascii="Times New Roman" w:hAnsi="Times New Roman" w:cs="Times New Roman"/>
                <w:b/>
                <w:bCs/>
              </w:rPr>
              <w:t>Netherlands</w:t>
            </w:r>
            <w:r w:rsidRPr="00CD2F11">
              <w:rPr>
                <w:rFonts w:ascii="Times New Roman" w:hAnsi="Times New Roman" w:cs="Times New Roman"/>
              </w:rPr>
              <w:t>, a 50 percent reduction in childcare fees for all parents and a simultaneous increase in tax credits for low-income working parents increase</w:t>
            </w:r>
            <w:r w:rsidR="0080284C">
              <w:rPr>
                <w:rFonts w:ascii="Times New Roman" w:hAnsi="Times New Roman" w:cs="Times New Roman"/>
              </w:rPr>
              <w:t>d</w:t>
            </w:r>
            <w:r w:rsidRPr="00CD2F11">
              <w:rPr>
                <w:rFonts w:ascii="Times New Roman" w:hAnsi="Times New Roman" w:cs="Times New Roman"/>
              </w:rPr>
              <w:t xml:space="preserve"> the female labor supply and </w:t>
            </w:r>
            <w:r w:rsidR="0080284C">
              <w:rPr>
                <w:rFonts w:ascii="Times New Roman" w:hAnsi="Times New Roman" w:cs="Times New Roman"/>
              </w:rPr>
              <w:t xml:space="preserve">the </w:t>
            </w:r>
            <w:r w:rsidRPr="00CD2F11">
              <w:rPr>
                <w:rFonts w:ascii="Times New Roman" w:hAnsi="Times New Roman" w:cs="Times New Roman"/>
              </w:rPr>
              <w:t>number of hours worked (</w:t>
            </w:r>
            <w:r w:rsidR="002E6776">
              <w:rPr>
                <w:rFonts w:ascii="Times New Roman" w:hAnsi="Times New Roman" w:cs="Times New Roman"/>
              </w:rPr>
              <w:t xml:space="preserve">WBL 2022, </w:t>
            </w:r>
            <w:proofErr w:type="spellStart"/>
            <w:r w:rsidR="002E6776">
              <w:rPr>
                <w:rFonts w:ascii="Times New Roman" w:hAnsi="Times New Roman" w:cs="Times New Roman"/>
              </w:rPr>
              <w:t>Chp</w:t>
            </w:r>
            <w:proofErr w:type="spellEnd"/>
            <w:r w:rsidR="002E6776">
              <w:rPr>
                <w:rFonts w:ascii="Times New Roman" w:hAnsi="Times New Roman" w:cs="Times New Roman"/>
              </w:rPr>
              <w:t xml:space="preserve"> 2)</w:t>
            </w:r>
            <w:r w:rsidR="00BD1CBA" w:rsidRPr="00CD2F11">
              <w:rPr>
                <w:rFonts w:ascii="Times New Roman" w:hAnsi="Times New Roman" w:cs="Times New Roman"/>
              </w:rPr>
              <w:t xml:space="preserve">. </w:t>
            </w:r>
          </w:p>
          <w:p w14:paraId="74A214B2" w14:textId="2CB0ABE5" w:rsidR="00513A6B" w:rsidRPr="00CD2F11" w:rsidRDefault="00513A6B" w:rsidP="00DE28C3">
            <w:pPr>
              <w:pStyle w:val="ListParagraph"/>
              <w:numPr>
                <w:ilvl w:val="0"/>
                <w:numId w:val="10"/>
              </w:numPr>
              <w:jc w:val="both"/>
              <w:rPr>
                <w:rFonts w:ascii="Times New Roman" w:hAnsi="Times New Roman" w:cs="Times New Roman"/>
              </w:rPr>
            </w:pPr>
            <w:r w:rsidRPr="00CD2F11">
              <w:rPr>
                <w:rFonts w:ascii="Times New Roman" w:hAnsi="Times New Roman" w:cs="Times New Roman"/>
              </w:rPr>
              <w:t xml:space="preserve">Additional </w:t>
            </w:r>
            <w:r w:rsidR="00A03117">
              <w:rPr>
                <w:rFonts w:ascii="Times New Roman" w:hAnsi="Times New Roman" w:cs="Times New Roman"/>
              </w:rPr>
              <w:t xml:space="preserve">fiscal policy </w:t>
            </w:r>
            <w:r w:rsidR="00475A33">
              <w:rPr>
                <w:rFonts w:ascii="Times New Roman" w:hAnsi="Times New Roman" w:cs="Times New Roman"/>
              </w:rPr>
              <w:t>strategies</w:t>
            </w:r>
            <w:r w:rsidRPr="00CD2F11">
              <w:rPr>
                <w:rFonts w:ascii="Times New Roman" w:hAnsi="Times New Roman" w:cs="Times New Roman"/>
              </w:rPr>
              <w:t xml:space="preserve"> were suggested in </w:t>
            </w:r>
            <w:r w:rsidR="002E6776">
              <w:rPr>
                <w:rFonts w:ascii="Times New Roman" w:hAnsi="Times New Roman" w:cs="Times New Roman"/>
              </w:rPr>
              <w:t>GTZ (n.d.) o</w:t>
            </w:r>
            <w:r w:rsidRPr="00CD2F11">
              <w:rPr>
                <w:rFonts w:ascii="Times New Roman" w:hAnsi="Times New Roman" w:cs="Times New Roman"/>
              </w:rPr>
              <w:t>n taxation and gender equality</w:t>
            </w:r>
            <w:r w:rsidR="00BD1CBA" w:rsidRPr="00CD2F11">
              <w:rPr>
                <w:rFonts w:ascii="Times New Roman" w:hAnsi="Times New Roman" w:cs="Times New Roman"/>
              </w:rPr>
              <w:t xml:space="preserve">: </w:t>
            </w:r>
          </w:p>
          <w:p w14:paraId="0AA7A87B" w14:textId="10BF2B9D" w:rsidR="00513A6B" w:rsidRPr="00CD2F11" w:rsidRDefault="00513A6B" w:rsidP="00513A6B">
            <w:pPr>
              <w:jc w:val="both"/>
              <w:rPr>
                <w:rFonts w:ascii="Times New Roman" w:hAnsi="Times New Roman" w:cs="Times New Roman"/>
              </w:rPr>
            </w:pPr>
            <w:r w:rsidRPr="00CD2F11">
              <w:rPr>
                <w:rFonts w:ascii="Times New Roman" w:hAnsi="Times New Roman" w:cs="Times New Roman"/>
              </w:rPr>
              <w:t>•</w:t>
            </w:r>
            <w:r w:rsidR="00496A41" w:rsidRPr="00CD2F11">
              <w:rPr>
                <w:rFonts w:ascii="Times New Roman" w:hAnsi="Times New Roman" w:cs="Times New Roman"/>
              </w:rPr>
              <w:t xml:space="preserve"> </w:t>
            </w:r>
            <w:r w:rsidRPr="00CD2F11">
              <w:rPr>
                <w:rFonts w:ascii="Times New Roman" w:hAnsi="Times New Roman" w:cs="Times New Roman"/>
                <w:b/>
                <w:bCs/>
              </w:rPr>
              <w:t>Capacity</w:t>
            </w:r>
            <w:r w:rsidR="0080284C">
              <w:rPr>
                <w:rFonts w:ascii="Times New Roman" w:hAnsi="Times New Roman" w:cs="Times New Roman"/>
                <w:b/>
                <w:bCs/>
              </w:rPr>
              <w:t>-</w:t>
            </w:r>
            <w:r w:rsidRPr="00CD2F11">
              <w:rPr>
                <w:rFonts w:ascii="Times New Roman" w:hAnsi="Times New Roman" w:cs="Times New Roman"/>
                <w:b/>
                <w:bCs/>
              </w:rPr>
              <w:t>building in tax policy units</w:t>
            </w:r>
            <w:r w:rsidRPr="00CD2F11">
              <w:rPr>
                <w:rFonts w:ascii="Times New Roman" w:hAnsi="Times New Roman" w:cs="Times New Roman"/>
              </w:rPr>
              <w:t xml:space="preserve"> within the Ministry of Finance and tax administration</w:t>
            </w:r>
            <w:r w:rsidR="005572E6">
              <w:rPr>
                <w:rFonts w:ascii="Times New Roman" w:hAnsi="Times New Roman" w:cs="Times New Roman"/>
              </w:rPr>
              <w:t>,</w:t>
            </w:r>
            <w:r w:rsidRPr="00CD2F11">
              <w:rPr>
                <w:rFonts w:ascii="Times New Roman" w:hAnsi="Times New Roman" w:cs="Times New Roman"/>
              </w:rPr>
              <w:t xml:space="preserve"> as well as of </w:t>
            </w:r>
            <w:r w:rsidR="005572E6">
              <w:rPr>
                <w:rFonts w:ascii="Times New Roman" w:hAnsi="Times New Roman" w:cs="Times New Roman"/>
              </w:rPr>
              <w:t>decision-makers</w:t>
            </w:r>
            <w:r w:rsidRPr="00CD2F11">
              <w:rPr>
                <w:rFonts w:ascii="Times New Roman" w:hAnsi="Times New Roman" w:cs="Times New Roman"/>
              </w:rPr>
              <w:t xml:space="preserve"> and women’s organizations, to increase openness toward gender-responsive policies throughout the public sector. In </w:t>
            </w:r>
            <w:r w:rsidR="0080284C">
              <w:rPr>
                <w:rFonts w:ascii="Times New Roman" w:hAnsi="Times New Roman" w:cs="Times New Roman"/>
              </w:rPr>
              <w:t xml:space="preserve">the Rep. of </w:t>
            </w:r>
            <w:r w:rsidRPr="00CD2F11">
              <w:rPr>
                <w:rFonts w:ascii="Times New Roman" w:hAnsi="Times New Roman" w:cs="Times New Roman"/>
              </w:rPr>
              <w:t xml:space="preserve">Korea, government officials must attend specific training to learn how to prepare a Gender Budgeting Statement (a document that contains information on gender budgeting targets and the beneficiaries of government spending to promote gender equity) </w:t>
            </w:r>
            <w:r w:rsidR="0036765C">
              <w:rPr>
                <w:rFonts w:ascii="Times New Roman" w:hAnsi="Times New Roman" w:cs="Times New Roman"/>
              </w:rPr>
              <w:t xml:space="preserve">in order to be able to </w:t>
            </w:r>
            <w:r w:rsidRPr="00CD2F11">
              <w:rPr>
                <w:rFonts w:ascii="Times New Roman" w:hAnsi="Times New Roman" w:cs="Times New Roman"/>
              </w:rPr>
              <w:t xml:space="preserve">prepare </w:t>
            </w:r>
            <w:r w:rsidR="0036765C">
              <w:rPr>
                <w:rFonts w:ascii="Times New Roman" w:hAnsi="Times New Roman" w:cs="Times New Roman"/>
              </w:rPr>
              <w:t>them</w:t>
            </w:r>
            <w:r w:rsidRPr="00CD2F11">
              <w:rPr>
                <w:rFonts w:ascii="Times New Roman" w:hAnsi="Times New Roman" w:cs="Times New Roman"/>
              </w:rPr>
              <w:t>.</w:t>
            </w:r>
          </w:p>
          <w:p w14:paraId="5CF71F12" w14:textId="25E7D819" w:rsidR="00513A6B" w:rsidRPr="00CD2F11" w:rsidRDefault="00513A6B" w:rsidP="00513A6B">
            <w:pPr>
              <w:jc w:val="both"/>
              <w:rPr>
                <w:rFonts w:ascii="Times New Roman" w:hAnsi="Times New Roman" w:cs="Times New Roman"/>
              </w:rPr>
            </w:pPr>
            <w:r w:rsidRPr="00CD2F11">
              <w:rPr>
                <w:rFonts w:ascii="Times New Roman" w:hAnsi="Times New Roman" w:cs="Times New Roman"/>
              </w:rPr>
              <w:t>•</w:t>
            </w:r>
            <w:r w:rsidR="008B3A1A" w:rsidRPr="00CD2F11">
              <w:rPr>
                <w:rFonts w:ascii="Times New Roman" w:hAnsi="Times New Roman" w:cs="Times New Roman"/>
              </w:rPr>
              <w:t xml:space="preserve"> </w:t>
            </w:r>
            <w:r w:rsidRPr="00CD2F11">
              <w:rPr>
                <w:rFonts w:ascii="Times New Roman" w:hAnsi="Times New Roman" w:cs="Times New Roman"/>
                <w:b/>
                <w:bCs/>
              </w:rPr>
              <w:t>Gender-sensitive revenue incidence analysis</w:t>
            </w:r>
            <w:r w:rsidR="00F73821" w:rsidRPr="00CD2F11">
              <w:rPr>
                <w:rFonts w:ascii="Times New Roman" w:hAnsi="Times New Roman" w:cs="Times New Roman"/>
              </w:rPr>
              <w:t>.</w:t>
            </w:r>
            <w:r w:rsidRPr="00CD2F11">
              <w:rPr>
                <w:rFonts w:ascii="Times New Roman" w:hAnsi="Times New Roman" w:cs="Times New Roman"/>
              </w:rPr>
              <w:t xml:space="preserve"> The annual budget is accompanied </w:t>
            </w:r>
            <w:r w:rsidR="005572E6">
              <w:rPr>
                <w:rFonts w:ascii="Times New Roman" w:hAnsi="Times New Roman" w:cs="Times New Roman"/>
              </w:rPr>
              <w:t>by an official assessment of the budget’s overall impact in promoting gender equality, including a gender-disaggregated analysis of specific policy measures (both revenue- and expenditure-related</w:t>
            </w:r>
            <w:r w:rsidR="00E24872" w:rsidRPr="00CD2F11">
              <w:rPr>
                <w:rFonts w:ascii="Times New Roman" w:hAnsi="Times New Roman" w:cs="Times New Roman"/>
              </w:rPr>
              <w:t xml:space="preserve">). The assessment must be conducted by </w:t>
            </w:r>
            <w:r w:rsidRPr="00CD2F11">
              <w:rPr>
                <w:rFonts w:ascii="Times New Roman" w:hAnsi="Times New Roman" w:cs="Times New Roman"/>
              </w:rPr>
              <w:t>the central budget authority (or under its authority)</w:t>
            </w:r>
            <w:r w:rsidR="00F73821" w:rsidRPr="00CD2F11">
              <w:rPr>
                <w:rFonts w:ascii="Times New Roman" w:hAnsi="Times New Roman" w:cs="Times New Roman"/>
              </w:rPr>
              <w:t>,</w:t>
            </w:r>
            <w:r w:rsidRPr="00CD2F11">
              <w:rPr>
                <w:rFonts w:ascii="Times New Roman" w:hAnsi="Times New Roman" w:cs="Times New Roman"/>
              </w:rPr>
              <w:t xml:space="preserve"> </w:t>
            </w:r>
          </w:p>
          <w:p w14:paraId="299693CF" w14:textId="1347B580" w:rsidR="00513A6B" w:rsidRPr="00CD2F11" w:rsidRDefault="00513A6B" w:rsidP="00513A6B">
            <w:pPr>
              <w:jc w:val="both"/>
              <w:rPr>
                <w:rFonts w:ascii="Times New Roman" w:hAnsi="Times New Roman" w:cs="Times New Roman"/>
              </w:rPr>
            </w:pPr>
            <w:r w:rsidRPr="00CD2F11">
              <w:rPr>
                <w:rFonts w:ascii="Times New Roman" w:hAnsi="Times New Roman" w:cs="Times New Roman"/>
              </w:rPr>
              <w:lastRenderedPageBreak/>
              <w:t>•</w:t>
            </w:r>
            <w:r w:rsidR="00F73821" w:rsidRPr="00CD2F11">
              <w:rPr>
                <w:rFonts w:ascii="Times New Roman" w:hAnsi="Times New Roman" w:cs="Times New Roman"/>
              </w:rPr>
              <w:t xml:space="preserve"> </w:t>
            </w:r>
            <w:r w:rsidRPr="00CD2F11">
              <w:rPr>
                <w:rFonts w:ascii="Times New Roman" w:hAnsi="Times New Roman" w:cs="Times New Roman"/>
                <w:b/>
                <w:bCs/>
              </w:rPr>
              <w:t xml:space="preserve">Research to increase knowledge </w:t>
            </w:r>
            <w:r w:rsidR="0080284C">
              <w:rPr>
                <w:rFonts w:ascii="Times New Roman" w:hAnsi="Times New Roman" w:cs="Times New Roman"/>
                <w:b/>
                <w:bCs/>
              </w:rPr>
              <w:t>regarding</w:t>
            </w:r>
            <w:r w:rsidRPr="00CD2F11">
              <w:rPr>
                <w:rFonts w:ascii="Times New Roman" w:hAnsi="Times New Roman" w:cs="Times New Roman"/>
                <w:b/>
                <w:bCs/>
              </w:rPr>
              <w:t xml:space="preserve"> gender equality and </w:t>
            </w:r>
            <w:r w:rsidR="007E003F">
              <w:rPr>
                <w:rFonts w:ascii="Times New Roman" w:hAnsi="Times New Roman" w:cs="Times New Roman"/>
                <w:b/>
                <w:bCs/>
              </w:rPr>
              <w:t>revenue-raising</w:t>
            </w:r>
            <w:r w:rsidRPr="00CD2F11">
              <w:rPr>
                <w:rFonts w:ascii="Times New Roman" w:hAnsi="Times New Roman" w:cs="Times New Roman"/>
                <w:b/>
                <w:bCs/>
              </w:rPr>
              <w:t>/tax policies</w:t>
            </w:r>
            <w:r w:rsidR="007A369B">
              <w:rPr>
                <w:rFonts w:ascii="Times New Roman" w:hAnsi="Times New Roman" w:cs="Times New Roman"/>
                <w:b/>
                <w:bCs/>
              </w:rPr>
              <w:t xml:space="preserve"> and expenditures</w:t>
            </w:r>
            <w:r w:rsidRPr="00CD2F11">
              <w:rPr>
                <w:rFonts w:ascii="Times New Roman" w:hAnsi="Times New Roman" w:cs="Times New Roman"/>
              </w:rPr>
              <w:t>.</w:t>
            </w:r>
          </w:p>
          <w:p w14:paraId="45A474DF" w14:textId="480DC883" w:rsidR="00513A6B" w:rsidRPr="00CD2F11" w:rsidRDefault="00513A6B" w:rsidP="00491D3C">
            <w:pPr>
              <w:jc w:val="both"/>
              <w:rPr>
                <w:rFonts w:ascii="Times New Roman" w:hAnsi="Times New Roman" w:cs="Times New Roman"/>
              </w:rPr>
            </w:pPr>
          </w:p>
        </w:tc>
      </w:tr>
    </w:tbl>
    <w:p w14:paraId="59D05CB2" w14:textId="77777777" w:rsidR="00F367DC" w:rsidRDefault="00F367DC" w:rsidP="00F367DC">
      <w:pPr>
        <w:spacing w:after="120" w:line="240" w:lineRule="auto"/>
        <w:ind w:left="50"/>
        <w:rPr>
          <w:rFonts w:ascii="Times New Roman" w:eastAsia="Times New Roman" w:hAnsi="Times New Roman" w:cs="Times New Roman"/>
        </w:rPr>
      </w:pPr>
    </w:p>
    <w:p w14:paraId="55CFA675" w14:textId="5843A7F0" w:rsidR="00A952E9" w:rsidRPr="007A369B" w:rsidRDefault="00CA470E" w:rsidP="00CA470E">
      <w:pPr>
        <w:pStyle w:val="ListParagraph"/>
        <w:numPr>
          <w:ilvl w:val="0"/>
          <w:numId w:val="10"/>
        </w:numPr>
        <w:spacing w:after="0"/>
        <w:jc w:val="both"/>
        <w:rPr>
          <w:rFonts w:ascii="Times New Roman" w:hAnsi="Times New Roman" w:cs="Times New Roman"/>
          <w:b/>
          <w:bCs/>
          <w:sz w:val="24"/>
          <w:szCs w:val="24"/>
        </w:rPr>
      </w:pPr>
      <w:r w:rsidRPr="007A369B">
        <w:rPr>
          <w:rFonts w:ascii="Times New Roman" w:hAnsi="Times New Roman" w:cs="Times New Roman"/>
          <w:b/>
          <w:bCs/>
          <w:sz w:val="24"/>
          <w:szCs w:val="24"/>
        </w:rPr>
        <w:t xml:space="preserve">Assets ownership/Inheritance </w:t>
      </w:r>
    </w:p>
    <w:p w14:paraId="368E97AD" w14:textId="77777777" w:rsidR="001029F6" w:rsidRDefault="001029F6" w:rsidP="001029F6">
      <w:pPr>
        <w:pStyle w:val="ListParagraph"/>
        <w:spacing w:after="0"/>
        <w:jc w:val="both"/>
        <w:rPr>
          <w:rFonts w:ascii="Times New Roman" w:hAnsi="Times New Roman" w:cs="Times New Roman"/>
        </w:rPr>
      </w:pPr>
    </w:p>
    <w:tbl>
      <w:tblPr>
        <w:tblStyle w:val="TableGrid"/>
        <w:tblW w:w="0" w:type="auto"/>
        <w:tblInd w:w="-5" w:type="dxa"/>
        <w:shd w:val="clear" w:color="auto" w:fill="D9E2F3" w:themeFill="accent1" w:themeFillTint="33"/>
        <w:tblLook w:val="04A0" w:firstRow="1" w:lastRow="0" w:firstColumn="1" w:lastColumn="0" w:noHBand="0" w:noVBand="1"/>
      </w:tblPr>
      <w:tblGrid>
        <w:gridCol w:w="2970"/>
        <w:gridCol w:w="6385"/>
      </w:tblGrid>
      <w:tr w:rsidR="001029F6" w14:paraId="3E7EC36B" w14:textId="77777777" w:rsidTr="00666C1D">
        <w:tc>
          <w:tcPr>
            <w:tcW w:w="2970" w:type="dxa"/>
            <w:shd w:val="clear" w:color="auto" w:fill="D9E2F3" w:themeFill="accent1" w:themeFillTint="33"/>
          </w:tcPr>
          <w:p w14:paraId="7C5A3C80" w14:textId="2E86D779" w:rsidR="001029F6" w:rsidRPr="00EF6312" w:rsidRDefault="001029F6" w:rsidP="001029F6">
            <w:pPr>
              <w:pStyle w:val="ListParagraph"/>
              <w:ind w:left="0"/>
              <w:jc w:val="both"/>
              <w:rPr>
                <w:rFonts w:ascii="Times New Roman" w:hAnsi="Times New Roman" w:cs="Times New Roman"/>
                <w:b/>
                <w:bCs/>
              </w:rPr>
            </w:pPr>
            <w:r w:rsidRPr="00EF6312">
              <w:rPr>
                <w:rFonts w:ascii="Times New Roman" w:hAnsi="Times New Roman" w:cs="Times New Roman"/>
                <w:b/>
                <w:bCs/>
              </w:rPr>
              <w:t xml:space="preserve">Inequal rights to inherit limit </w:t>
            </w:r>
            <w:r w:rsidR="007E003F">
              <w:rPr>
                <w:rFonts w:ascii="Times New Roman" w:hAnsi="Times New Roman" w:cs="Times New Roman"/>
                <w:b/>
                <w:bCs/>
              </w:rPr>
              <w:t>women's</w:t>
            </w:r>
            <w:r w:rsidR="007E003F" w:rsidRPr="00EF6312">
              <w:rPr>
                <w:rFonts w:ascii="Times New Roman" w:hAnsi="Times New Roman" w:cs="Times New Roman"/>
                <w:b/>
                <w:bCs/>
              </w:rPr>
              <w:t xml:space="preserve"> </w:t>
            </w:r>
            <w:r w:rsidRPr="00EF6312">
              <w:rPr>
                <w:rFonts w:ascii="Times New Roman" w:hAnsi="Times New Roman" w:cs="Times New Roman"/>
                <w:b/>
                <w:bCs/>
              </w:rPr>
              <w:t>access to credit</w:t>
            </w:r>
          </w:p>
        </w:tc>
        <w:tc>
          <w:tcPr>
            <w:tcW w:w="6385" w:type="dxa"/>
            <w:shd w:val="clear" w:color="auto" w:fill="D9E2F3" w:themeFill="accent1" w:themeFillTint="33"/>
          </w:tcPr>
          <w:p w14:paraId="2CCFE486" w14:textId="4550BB6F" w:rsidR="001029F6" w:rsidRDefault="00E44B69" w:rsidP="007C033A">
            <w:pPr>
              <w:jc w:val="both"/>
              <w:rPr>
                <w:rFonts w:ascii="Times New Roman" w:hAnsi="Times New Roman" w:cs="Times New Roman"/>
              </w:rPr>
            </w:pPr>
            <w:r>
              <w:rPr>
                <w:rFonts w:ascii="Times New Roman" w:hAnsi="Times New Roman" w:cs="Times New Roman"/>
              </w:rPr>
              <w:t xml:space="preserve">Many countries </w:t>
            </w:r>
            <w:r w:rsidR="00B047FF">
              <w:rPr>
                <w:rFonts w:ascii="Times New Roman" w:hAnsi="Times New Roman" w:cs="Times New Roman"/>
              </w:rPr>
              <w:t xml:space="preserve">have </w:t>
            </w:r>
            <w:r w:rsidR="008F49C8">
              <w:rPr>
                <w:rFonts w:ascii="Times New Roman" w:hAnsi="Times New Roman" w:cs="Times New Roman"/>
              </w:rPr>
              <w:t>equal inheritance rights for women and men</w:t>
            </w:r>
            <w:r w:rsidR="00D924A5">
              <w:rPr>
                <w:rFonts w:ascii="Times New Roman" w:hAnsi="Times New Roman" w:cs="Times New Roman"/>
              </w:rPr>
              <w:t xml:space="preserve"> with inheritance law that </w:t>
            </w:r>
            <w:r w:rsidR="000D346A">
              <w:rPr>
                <w:rFonts w:ascii="Times New Roman" w:hAnsi="Times New Roman" w:cs="Times New Roman"/>
              </w:rPr>
              <w:t>does not differentiate based on gender.</w:t>
            </w:r>
            <w:r w:rsidR="0080284C">
              <w:rPr>
                <w:rFonts w:ascii="Times New Roman" w:hAnsi="Times New Roman" w:cs="Times New Roman"/>
              </w:rPr>
              <w:t xml:space="preserve"> E</w:t>
            </w:r>
            <w:r w:rsidR="008F49C8">
              <w:rPr>
                <w:rFonts w:ascii="Times New Roman" w:hAnsi="Times New Roman" w:cs="Times New Roman"/>
              </w:rPr>
              <w:t>xamples include</w:t>
            </w:r>
            <w:r w:rsidR="0074205E">
              <w:rPr>
                <w:rFonts w:ascii="Times New Roman" w:hAnsi="Times New Roman" w:cs="Times New Roman"/>
              </w:rPr>
              <w:t xml:space="preserve"> France</w:t>
            </w:r>
            <w:r w:rsidR="004E3536">
              <w:rPr>
                <w:rFonts w:ascii="Times New Roman" w:hAnsi="Times New Roman" w:cs="Times New Roman"/>
              </w:rPr>
              <w:t xml:space="preserve">, Sweden, China, </w:t>
            </w:r>
            <w:r w:rsidR="0080284C">
              <w:rPr>
                <w:rFonts w:ascii="Times New Roman" w:hAnsi="Times New Roman" w:cs="Times New Roman"/>
              </w:rPr>
              <w:t>and</w:t>
            </w:r>
            <w:r w:rsidR="000D346A">
              <w:rPr>
                <w:rFonts w:ascii="Times New Roman" w:hAnsi="Times New Roman" w:cs="Times New Roman"/>
              </w:rPr>
              <w:t xml:space="preserve"> Thailand. </w:t>
            </w:r>
          </w:p>
        </w:tc>
      </w:tr>
    </w:tbl>
    <w:p w14:paraId="01C5556C" w14:textId="77777777" w:rsidR="001029F6" w:rsidRDefault="001029F6" w:rsidP="001029F6">
      <w:pPr>
        <w:pStyle w:val="ListParagraph"/>
        <w:spacing w:after="0"/>
        <w:jc w:val="both"/>
        <w:rPr>
          <w:rFonts w:ascii="Times New Roman" w:hAnsi="Times New Roman" w:cs="Times New Roman"/>
        </w:rPr>
      </w:pPr>
    </w:p>
    <w:p w14:paraId="4FF03CB5" w14:textId="77777777" w:rsidR="002A69A8" w:rsidRDefault="002A69A8" w:rsidP="001029F6">
      <w:pPr>
        <w:pStyle w:val="ListParagraph"/>
        <w:spacing w:after="0"/>
        <w:jc w:val="both"/>
        <w:rPr>
          <w:rFonts w:ascii="Times New Roman" w:hAnsi="Times New Roman" w:cs="Times New Roman"/>
        </w:rPr>
      </w:pPr>
    </w:p>
    <w:p w14:paraId="7A234688" w14:textId="77777777" w:rsidR="002A69A8" w:rsidRPr="00CD2F11" w:rsidRDefault="002A69A8" w:rsidP="001029F6">
      <w:pPr>
        <w:pStyle w:val="ListParagraph"/>
        <w:spacing w:after="0"/>
        <w:jc w:val="both"/>
        <w:rPr>
          <w:rFonts w:ascii="Times New Roman" w:hAnsi="Times New Roman" w:cs="Times New Roman"/>
        </w:rPr>
      </w:pPr>
    </w:p>
    <w:p w14:paraId="3CF00369" w14:textId="21138F20" w:rsidR="001F7AA9" w:rsidRPr="0045236E" w:rsidRDefault="001F7AA9" w:rsidP="00EF6312">
      <w:pPr>
        <w:pStyle w:val="ListParagraph"/>
        <w:numPr>
          <w:ilvl w:val="0"/>
          <w:numId w:val="10"/>
        </w:numPr>
        <w:spacing w:after="120" w:line="240" w:lineRule="auto"/>
        <w:rPr>
          <w:rFonts w:ascii="Times New Roman" w:eastAsia="Times New Roman" w:hAnsi="Times New Roman" w:cs="Times New Roman"/>
          <w:b/>
          <w:bCs/>
          <w:sz w:val="24"/>
          <w:szCs w:val="24"/>
        </w:rPr>
      </w:pPr>
      <w:r w:rsidRPr="0045236E">
        <w:rPr>
          <w:rFonts w:ascii="Times New Roman" w:eastAsia="Times New Roman" w:hAnsi="Times New Roman" w:cs="Times New Roman"/>
          <w:b/>
          <w:bCs/>
          <w:sz w:val="24"/>
          <w:szCs w:val="24"/>
        </w:rPr>
        <w:t xml:space="preserve">Other </w:t>
      </w:r>
      <w:r w:rsidR="00A61960" w:rsidRPr="0045236E">
        <w:rPr>
          <w:rFonts w:ascii="Times New Roman" w:eastAsia="Times New Roman" w:hAnsi="Times New Roman" w:cs="Times New Roman"/>
          <w:b/>
          <w:bCs/>
          <w:sz w:val="24"/>
          <w:szCs w:val="24"/>
        </w:rPr>
        <w:t>constraints:</w:t>
      </w:r>
      <w:r w:rsidRPr="0045236E">
        <w:rPr>
          <w:rFonts w:ascii="Times New Roman" w:eastAsia="Times New Roman" w:hAnsi="Times New Roman" w:cs="Times New Roman"/>
          <w:b/>
          <w:bCs/>
          <w:sz w:val="24"/>
          <w:szCs w:val="24"/>
        </w:rPr>
        <w:t xml:space="preserve"> </w:t>
      </w:r>
      <w:r w:rsidR="00765E41" w:rsidRPr="0045236E">
        <w:rPr>
          <w:rFonts w:ascii="Times New Roman" w:eastAsia="Times New Roman" w:hAnsi="Times New Roman" w:cs="Times New Roman"/>
          <w:b/>
          <w:bCs/>
          <w:sz w:val="24"/>
          <w:szCs w:val="24"/>
        </w:rPr>
        <w:t>L</w:t>
      </w:r>
      <w:r w:rsidRPr="0045236E">
        <w:rPr>
          <w:rFonts w:ascii="Times New Roman" w:eastAsia="Times New Roman" w:hAnsi="Times New Roman" w:cs="Times New Roman"/>
          <w:b/>
          <w:bCs/>
          <w:sz w:val="24"/>
          <w:szCs w:val="24"/>
        </w:rPr>
        <w:t>eadership</w:t>
      </w:r>
      <w:r w:rsidR="00765E41" w:rsidRPr="0045236E">
        <w:rPr>
          <w:rFonts w:ascii="Times New Roman" w:eastAsia="Times New Roman" w:hAnsi="Times New Roman" w:cs="Times New Roman"/>
          <w:b/>
          <w:bCs/>
          <w:sz w:val="24"/>
          <w:szCs w:val="24"/>
        </w:rPr>
        <w:t xml:space="preserve"> positions</w:t>
      </w:r>
      <w:r w:rsidRPr="0045236E">
        <w:rPr>
          <w:rFonts w:ascii="Times New Roman" w:eastAsia="Times New Roman" w:hAnsi="Times New Roman" w:cs="Times New Roman"/>
          <w:b/>
          <w:bCs/>
          <w:sz w:val="24"/>
          <w:szCs w:val="24"/>
        </w:rPr>
        <w:t xml:space="preserve"> </w:t>
      </w:r>
    </w:p>
    <w:p w14:paraId="7787B1CE" w14:textId="49010110" w:rsidR="001F7AA9" w:rsidRPr="00195D1B" w:rsidRDefault="006B5DB3" w:rsidP="00195D1B">
      <w:pPr>
        <w:jc w:val="both"/>
        <w:rPr>
          <w:rFonts w:ascii="Times New Roman" w:hAnsi="Times New Roman" w:cs="Times New Roman"/>
        </w:rPr>
      </w:pPr>
      <w:r>
        <w:rPr>
          <w:rFonts w:ascii="Times New Roman" w:hAnsi="Times New Roman" w:cs="Times New Roman"/>
          <w:b/>
          <w:bCs/>
        </w:rPr>
        <w:t>The</w:t>
      </w:r>
      <w:r w:rsidR="006927BF" w:rsidRPr="00EF6312">
        <w:rPr>
          <w:rFonts w:ascii="Times New Roman" w:hAnsi="Times New Roman" w:cs="Times New Roman"/>
          <w:b/>
          <w:bCs/>
        </w:rPr>
        <w:t xml:space="preserve"> issue of </w:t>
      </w:r>
      <w:r w:rsidR="007E003F">
        <w:rPr>
          <w:rFonts w:ascii="Times New Roman" w:hAnsi="Times New Roman" w:cs="Times New Roman"/>
          <w:b/>
          <w:bCs/>
        </w:rPr>
        <w:t>women's</w:t>
      </w:r>
      <w:r w:rsidR="007E003F" w:rsidRPr="00EF6312">
        <w:rPr>
          <w:rFonts w:ascii="Times New Roman" w:hAnsi="Times New Roman" w:cs="Times New Roman"/>
          <w:b/>
          <w:bCs/>
        </w:rPr>
        <w:t xml:space="preserve"> </w:t>
      </w:r>
      <w:r w:rsidR="006927BF" w:rsidRPr="00EF6312">
        <w:rPr>
          <w:rFonts w:ascii="Times New Roman" w:hAnsi="Times New Roman" w:cs="Times New Roman"/>
          <w:b/>
          <w:bCs/>
        </w:rPr>
        <w:t>participation</w:t>
      </w:r>
      <w:r w:rsidR="00CB5050">
        <w:rPr>
          <w:rFonts w:ascii="Times New Roman" w:hAnsi="Times New Roman" w:cs="Times New Roman"/>
          <w:b/>
          <w:bCs/>
        </w:rPr>
        <w:t xml:space="preserve"> in the private sector</w:t>
      </w:r>
      <w:r w:rsidR="006927BF" w:rsidRPr="00EF6312">
        <w:rPr>
          <w:rFonts w:ascii="Times New Roman" w:hAnsi="Times New Roman" w:cs="Times New Roman"/>
          <w:b/>
          <w:bCs/>
        </w:rPr>
        <w:t xml:space="preserve"> </w:t>
      </w:r>
      <w:r>
        <w:rPr>
          <w:rFonts w:ascii="Times New Roman" w:hAnsi="Times New Roman" w:cs="Times New Roman"/>
          <w:b/>
          <w:bCs/>
        </w:rPr>
        <w:t xml:space="preserve">also </w:t>
      </w:r>
      <w:r w:rsidR="00EF6312">
        <w:rPr>
          <w:rFonts w:ascii="Times New Roman" w:hAnsi="Times New Roman" w:cs="Times New Roman"/>
          <w:b/>
          <w:bCs/>
        </w:rPr>
        <w:t>arises</w:t>
      </w:r>
      <w:r w:rsidR="006927BF" w:rsidRPr="00EF6312">
        <w:rPr>
          <w:rFonts w:ascii="Times New Roman" w:hAnsi="Times New Roman" w:cs="Times New Roman"/>
          <w:b/>
          <w:bCs/>
        </w:rPr>
        <w:t xml:space="preserve"> as they consider their career growth opportunities</w:t>
      </w:r>
      <w:r w:rsidR="006927BF">
        <w:rPr>
          <w:rFonts w:ascii="Times New Roman" w:hAnsi="Times New Roman" w:cs="Times New Roman"/>
        </w:rPr>
        <w:t>. The lack of clear regulation fostering</w:t>
      </w:r>
      <w:r w:rsidR="00F27E43">
        <w:rPr>
          <w:rFonts w:ascii="Times New Roman" w:hAnsi="Times New Roman" w:cs="Times New Roman"/>
        </w:rPr>
        <w:t xml:space="preserve"> equal opportunities for leadership </w:t>
      </w:r>
      <w:r w:rsidR="00765E41">
        <w:rPr>
          <w:rFonts w:ascii="Times New Roman" w:hAnsi="Times New Roman" w:cs="Times New Roman"/>
        </w:rPr>
        <w:t xml:space="preserve">positions </w:t>
      </w:r>
      <w:r w:rsidR="00EF6312">
        <w:rPr>
          <w:rFonts w:ascii="Times New Roman" w:hAnsi="Times New Roman" w:cs="Times New Roman"/>
        </w:rPr>
        <w:t>stunts</w:t>
      </w:r>
      <w:r w:rsidR="00F27E43">
        <w:rPr>
          <w:rFonts w:ascii="Times New Roman" w:hAnsi="Times New Roman" w:cs="Times New Roman"/>
        </w:rPr>
        <w:t xml:space="preserve"> the evolution of</w:t>
      </w:r>
      <w:r w:rsidR="00EE42CC">
        <w:rPr>
          <w:rFonts w:ascii="Times New Roman" w:hAnsi="Times New Roman" w:cs="Times New Roman"/>
        </w:rPr>
        <w:t xml:space="preserve"> female employees in corporations. </w:t>
      </w:r>
      <w:r w:rsidR="00581D05">
        <w:rPr>
          <w:rFonts w:ascii="Times New Roman" w:hAnsi="Times New Roman" w:cs="Times New Roman"/>
        </w:rPr>
        <w:t xml:space="preserve">To date, </w:t>
      </w:r>
      <w:r w:rsidR="00472BE4">
        <w:rPr>
          <w:rFonts w:ascii="Times New Roman" w:hAnsi="Times New Roman" w:cs="Times New Roman"/>
        </w:rPr>
        <w:t xml:space="preserve">there is no provision in </w:t>
      </w:r>
      <w:r w:rsidR="00581D05">
        <w:rPr>
          <w:rFonts w:ascii="Times New Roman" w:hAnsi="Times New Roman" w:cs="Times New Roman"/>
        </w:rPr>
        <w:t>Indonesia</w:t>
      </w:r>
      <w:r w:rsidR="00276222">
        <w:rPr>
          <w:rFonts w:ascii="Times New Roman" w:hAnsi="Times New Roman" w:cs="Times New Roman"/>
        </w:rPr>
        <w:t xml:space="preserve">n </w:t>
      </w:r>
      <w:r w:rsidR="0036765C">
        <w:rPr>
          <w:rFonts w:ascii="Times New Roman" w:hAnsi="Times New Roman" w:cs="Times New Roman"/>
        </w:rPr>
        <w:t>l</w:t>
      </w:r>
      <w:r w:rsidR="00276222">
        <w:rPr>
          <w:rFonts w:ascii="Times New Roman" w:hAnsi="Times New Roman" w:cs="Times New Roman"/>
        </w:rPr>
        <w:t xml:space="preserve">aw for </w:t>
      </w:r>
      <w:r w:rsidR="004577DA">
        <w:rPr>
          <w:rFonts w:ascii="Times New Roman" w:hAnsi="Times New Roman" w:cs="Times New Roman"/>
        </w:rPr>
        <w:t xml:space="preserve">minimum female representation on company </w:t>
      </w:r>
      <w:r w:rsidR="007E003F">
        <w:rPr>
          <w:rFonts w:ascii="Times New Roman" w:hAnsi="Times New Roman" w:cs="Times New Roman"/>
        </w:rPr>
        <w:t>boards</w:t>
      </w:r>
      <w:r w:rsidR="003861AC">
        <w:rPr>
          <w:rFonts w:ascii="Times New Roman" w:hAnsi="Times New Roman" w:cs="Times New Roman"/>
        </w:rPr>
        <w:t xml:space="preserve"> (</w:t>
      </w:r>
      <w:proofErr w:type="spellStart"/>
      <w:r w:rsidR="003861AC">
        <w:rPr>
          <w:rFonts w:ascii="Times New Roman" w:hAnsi="Times New Roman" w:cs="Times New Roman"/>
        </w:rPr>
        <w:t>GoI</w:t>
      </w:r>
      <w:proofErr w:type="spellEnd"/>
      <w:r w:rsidR="003861AC">
        <w:rPr>
          <w:rFonts w:ascii="Times New Roman" w:hAnsi="Times New Roman" w:cs="Times New Roman"/>
        </w:rPr>
        <w:t xml:space="preserve"> 2007)</w:t>
      </w:r>
      <w:r w:rsidR="00472BE4">
        <w:rPr>
          <w:rFonts w:ascii="Times New Roman" w:hAnsi="Times New Roman" w:cs="Times New Roman"/>
        </w:rPr>
        <w:t>.</w:t>
      </w:r>
      <w:r w:rsidR="00EF6312">
        <w:rPr>
          <w:rFonts w:ascii="Times New Roman" w:hAnsi="Times New Roman" w:cs="Times New Roman"/>
        </w:rPr>
        <w:t xml:space="preserve"> </w:t>
      </w:r>
      <w:r w:rsidR="00A61960">
        <w:rPr>
          <w:rFonts w:ascii="Times New Roman" w:hAnsi="Times New Roman" w:cs="Times New Roman"/>
        </w:rPr>
        <w:t>Similar</w:t>
      </w:r>
      <w:r w:rsidR="00472BE4">
        <w:rPr>
          <w:rFonts w:ascii="Times New Roman" w:hAnsi="Times New Roman" w:cs="Times New Roman"/>
        </w:rPr>
        <w:t xml:space="preserve"> to </w:t>
      </w:r>
      <w:r w:rsidR="007C2617">
        <w:rPr>
          <w:rFonts w:ascii="Times New Roman" w:hAnsi="Times New Roman" w:cs="Times New Roman"/>
        </w:rPr>
        <w:t>s</w:t>
      </w:r>
      <w:r w:rsidR="001F7AA9" w:rsidRPr="006927BF">
        <w:rPr>
          <w:rFonts w:ascii="Times New Roman" w:hAnsi="Times New Roman" w:cs="Times New Roman"/>
        </w:rPr>
        <w:t xml:space="preserve">everal European countries, including Germany, Italy, Belgium, France, and the Netherlands, </w:t>
      </w:r>
      <w:r w:rsidR="007C2617">
        <w:rPr>
          <w:rFonts w:ascii="Times New Roman" w:hAnsi="Times New Roman" w:cs="Times New Roman"/>
        </w:rPr>
        <w:t xml:space="preserve">Indonesia could </w:t>
      </w:r>
      <w:r w:rsidR="001F7AA9" w:rsidRPr="006927BF">
        <w:rPr>
          <w:rFonts w:ascii="Times New Roman" w:hAnsi="Times New Roman" w:cs="Times New Roman"/>
        </w:rPr>
        <w:t>impose mandatory quotas requiring gender diversity on boards of directors of companies. T</w:t>
      </w:r>
      <w:r w:rsidR="001A1ABD">
        <w:rPr>
          <w:rFonts w:ascii="Times New Roman" w:hAnsi="Times New Roman" w:cs="Times New Roman"/>
        </w:rPr>
        <w:t xml:space="preserve">he </w:t>
      </w:r>
      <w:r w:rsidR="00195D1B">
        <w:rPr>
          <w:rFonts w:ascii="Times New Roman" w:hAnsi="Times New Roman" w:cs="Times New Roman"/>
        </w:rPr>
        <w:t xml:space="preserve">country could consider taking </w:t>
      </w:r>
      <w:r w:rsidR="00195D1B" w:rsidRPr="00195D1B">
        <w:rPr>
          <w:rFonts w:ascii="Times New Roman" w:hAnsi="Times New Roman" w:cs="Times New Roman"/>
        </w:rPr>
        <w:t xml:space="preserve">the </w:t>
      </w:r>
      <w:hyperlink r:id="rId22" w:history="1">
        <w:r w:rsidR="00195D1B" w:rsidRPr="00195D1B">
          <w:rPr>
            <w:rStyle w:val="Hyperlink"/>
            <w:rFonts w:ascii="Times New Roman" w:hAnsi="Times New Roman" w:cs="Times New Roman"/>
          </w:rPr>
          <w:t>OECD approach</w:t>
        </w:r>
      </w:hyperlink>
      <w:r w:rsidR="00195D1B" w:rsidRPr="00195D1B">
        <w:rPr>
          <w:rFonts w:ascii="Times New Roman" w:hAnsi="Times New Roman" w:cs="Times New Roman"/>
        </w:rPr>
        <w:t xml:space="preserve"> </w:t>
      </w:r>
      <w:r w:rsidR="008F2E60">
        <w:rPr>
          <w:rFonts w:ascii="Times New Roman" w:hAnsi="Times New Roman" w:cs="Times New Roman"/>
        </w:rPr>
        <w:t xml:space="preserve">(OECD 2020) </w:t>
      </w:r>
      <w:r w:rsidR="00195D1B">
        <w:rPr>
          <w:rFonts w:ascii="Times New Roman" w:hAnsi="Times New Roman" w:cs="Times New Roman"/>
        </w:rPr>
        <w:t xml:space="preserve">by </w:t>
      </w:r>
      <w:r w:rsidR="00195D1B" w:rsidRPr="00195D1B">
        <w:rPr>
          <w:rFonts w:ascii="Times New Roman" w:hAnsi="Times New Roman" w:cs="Times New Roman"/>
        </w:rPr>
        <w:t xml:space="preserve"> </w:t>
      </w:r>
      <w:r w:rsidR="00195D1B">
        <w:rPr>
          <w:rFonts w:ascii="Times New Roman" w:hAnsi="Times New Roman" w:cs="Times New Roman"/>
        </w:rPr>
        <w:t xml:space="preserve">introducing the </w:t>
      </w:r>
      <w:r w:rsidR="00195D1B" w:rsidRPr="00195D1B">
        <w:rPr>
          <w:rFonts w:ascii="Times New Roman" w:hAnsi="Times New Roman" w:cs="Times New Roman"/>
        </w:rPr>
        <w:t xml:space="preserve"> </w:t>
      </w:r>
      <w:r w:rsidR="00195D1B">
        <w:rPr>
          <w:rFonts w:ascii="Times New Roman" w:hAnsi="Times New Roman" w:cs="Times New Roman"/>
        </w:rPr>
        <w:t>following</w:t>
      </w:r>
      <w:r w:rsidR="00195D1B" w:rsidRPr="00195D1B">
        <w:rPr>
          <w:rFonts w:ascii="Times New Roman" w:hAnsi="Times New Roman" w:cs="Times New Roman"/>
        </w:rPr>
        <w:t xml:space="preserve"> changes: </w:t>
      </w:r>
    </w:p>
    <w:p w14:paraId="0EE6C868" w14:textId="77777777" w:rsidR="00195D1B" w:rsidRDefault="001F7AA9" w:rsidP="00195D1B">
      <w:pPr>
        <w:pStyle w:val="ListParagraph"/>
        <w:numPr>
          <w:ilvl w:val="0"/>
          <w:numId w:val="23"/>
        </w:numPr>
        <w:tabs>
          <w:tab w:val="num" w:pos="1800"/>
        </w:tabs>
        <w:spacing w:after="0"/>
        <w:jc w:val="both"/>
        <w:rPr>
          <w:rFonts w:ascii="Times New Roman" w:hAnsi="Times New Roman" w:cs="Times New Roman"/>
        </w:rPr>
      </w:pPr>
      <w:r w:rsidRPr="00195D1B">
        <w:rPr>
          <w:rFonts w:ascii="Times New Roman" w:hAnsi="Times New Roman" w:cs="Times New Roman"/>
        </w:rPr>
        <w:t>Laws that set a minimum quota for women on boards.</w:t>
      </w:r>
    </w:p>
    <w:p w14:paraId="5F5C9339" w14:textId="6127C4B9" w:rsidR="00195D1B" w:rsidRDefault="001F7AA9" w:rsidP="00195D1B">
      <w:pPr>
        <w:pStyle w:val="ListParagraph"/>
        <w:numPr>
          <w:ilvl w:val="0"/>
          <w:numId w:val="23"/>
        </w:numPr>
        <w:tabs>
          <w:tab w:val="num" w:pos="1800"/>
        </w:tabs>
        <w:spacing w:after="0"/>
        <w:jc w:val="both"/>
        <w:rPr>
          <w:rFonts w:ascii="Times New Roman" w:hAnsi="Times New Roman" w:cs="Times New Roman"/>
        </w:rPr>
      </w:pPr>
      <w:r w:rsidRPr="00195D1B">
        <w:rPr>
          <w:rFonts w:ascii="Times New Roman" w:hAnsi="Times New Roman" w:cs="Times New Roman"/>
        </w:rPr>
        <w:t xml:space="preserve">Rules on disclosure of the gender make-up of company boards </w:t>
      </w:r>
      <w:r w:rsidR="007E003F">
        <w:rPr>
          <w:rFonts w:ascii="Times New Roman" w:hAnsi="Times New Roman" w:cs="Times New Roman"/>
        </w:rPr>
        <w:t>and</w:t>
      </w:r>
      <w:r w:rsidRPr="00195D1B">
        <w:rPr>
          <w:rFonts w:ascii="Times New Roman" w:hAnsi="Times New Roman" w:cs="Times New Roman"/>
        </w:rPr>
        <w:t xml:space="preserve"> diversity policies.</w:t>
      </w:r>
    </w:p>
    <w:p w14:paraId="4D6F2935" w14:textId="77777777" w:rsidR="00195D1B" w:rsidRDefault="001F7AA9" w:rsidP="00195D1B">
      <w:pPr>
        <w:pStyle w:val="ListParagraph"/>
        <w:numPr>
          <w:ilvl w:val="0"/>
          <w:numId w:val="23"/>
        </w:numPr>
        <w:tabs>
          <w:tab w:val="num" w:pos="1800"/>
        </w:tabs>
        <w:spacing w:after="0"/>
        <w:jc w:val="both"/>
        <w:rPr>
          <w:rFonts w:ascii="Times New Roman" w:hAnsi="Times New Roman" w:cs="Times New Roman"/>
        </w:rPr>
      </w:pPr>
      <w:r w:rsidRPr="00195D1B">
        <w:rPr>
          <w:rFonts w:ascii="Times New Roman" w:hAnsi="Times New Roman" w:cs="Times New Roman"/>
        </w:rPr>
        <w:t>Comply-or-explain provisions on gender in corporate governance codes.</w:t>
      </w:r>
    </w:p>
    <w:p w14:paraId="2E6DA485" w14:textId="36D22C40" w:rsidR="001F7AA9" w:rsidRDefault="001F7AA9" w:rsidP="00394A4E">
      <w:pPr>
        <w:pStyle w:val="ListParagraph"/>
        <w:numPr>
          <w:ilvl w:val="0"/>
          <w:numId w:val="23"/>
        </w:numPr>
        <w:tabs>
          <w:tab w:val="num" w:pos="1800"/>
        </w:tabs>
        <w:spacing w:after="0"/>
        <w:jc w:val="both"/>
        <w:rPr>
          <w:rFonts w:ascii="Times New Roman" w:hAnsi="Times New Roman" w:cs="Times New Roman"/>
        </w:rPr>
      </w:pPr>
      <w:r w:rsidRPr="00195D1B">
        <w:rPr>
          <w:rFonts w:ascii="Times New Roman" w:hAnsi="Times New Roman" w:cs="Times New Roman"/>
        </w:rPr>
        <w:t xml:space="preserve">Voluntary targets for gender diversity on boards </w:t>
      </w:r>
      <w:r w:rsidR="007E003F">
        <w:rPr>
          <w:rFonts w:ascii="Times New Roman" w:hAnsi="Times New Roman" w:cs="Times New Roman"/>
        </w:rPr>
        <w:t>and</w:t>
      </w:r>
      <w:r w:rsidRPr="00195D1B">
        <w:rPr>
          <w:rFonts w:ascii="Times New Roman" w:hAnsi="Times New Roman" w:cs="Times New Roman"/>
        </w:rPr>
        <w:t xml:space="preserve"> in senior management.</w:t>
      </w:r>
    </w:p>
    <w:p w14:paraId="5930E1F9" w14:textId="77777777" w:rsidR="00063DFA" w:rsidRDefault="00063DFA" w:rsidP="00063DFA">
      <w:pPr>
        <w:pStyle w:val="ListParagraph"/>
        <w:spacing w:after="0"/>
        <w:ind w:left="990"/>
        <w:jc w:val="both"/>
        <w:rPr>
          <w:rFonts w:ascii="Times New Roman" w:hAnsi="Times New Roman" w:cs="Times New Roman"/>
        </w:rPr>
      </w:pPr>
    </w:p>
    <w:p w14:paraId="0EBDE699" w14:textId="77777777" w:rsidR="00577B2E" w:rsidRPr="00394A4E" w:rsidRDefault="00577B2E" w:rsidP="00063DFA">
      <w:pPr>
        <w:pStyle w:val="ListParagraph"/>
        <w:spacing w:after="0"/>
        <w:ind w:left="990"/>
        <w:jc w:val="both"/>
        <w:rPr>
          <w:rFonts w:ascii="Times New Roman" w:hAnsi="Times New Roman" w:cs="Times New Roman"/>
        </w:rPr>
      </w:pPr>
    </w:p>
    <w:p w14:paraId="60147DED" w14:textId="6A7B27E3" w:rsidR="00394A4E" w:rsidRPr="0045236E" w:rsidRDefault="001F7AA9" w:rsidP="00394A4E">
      <w:pPr>
        <w:pStyle w:val="ListParagraph"/>
        <w:numPr>
          <w:ilvl w:val="0"/>
          <w:numId w:val="4"/>
        </w:numPr>
        <w:rPr>
          <w:rFonts w:ascii="Times New Roman" w:hAnsi="Times New Roman" w:cs="Times New Roman"/>
          <w:b/>
          <w:bCs/>
          <w:color w:val="4472C4" w:themeColor="accent1"/>
          <w:sz w:val="28"/>
          <w:szCs w:val="28"/>
        </w:rPr>
      </w:pPr>
      <w:r w:rsidRPr="0045236E">
        <w:rPr>
          <w:rFonts w:ascii="Times New Roman" w:hAnsi="Times New Roman" w:cs="Times New Roman"/>
          <w:b/>
          <w:bCs/>
          <w:color w:val="4472C4" w:themeColor="accent1"/>
          <w:sz w:val="28"/>
          <w:szCs w:val="28"/>
        </w:rPr>
        <w:t xml:space="preserve">Conclusion </w:t>
      </w:r>
    </w:p>
    <w:p w14:paraId="6B3D8C51" w14:textId="4692AEDC" w:rsidR="00501857" w:rsidRPr="00394A4E" w:rsidRDefault="007E003F" w:rsidP="00666C1D">
      <w:pPr>
        <w:ind w:left="50"/>
        <w:jc w:val="both"/>
        <w:rPr>
          <w:rFonts w:ascii="Times New Roman" w:hAnsi="Times New Roman" w:cs="Times New Roman"/>
          <w:b/>
          <w:bCs/>
        </w:rPr>
      </w:pPr>
      <w:r>
        <w:rPr>
          <w:rFonts w:ascii="Times New Roman" w:hAnsi="Times New Roman" w:cs="Times New Roman"/>
          <w:b/>
          <w:bCs/>
        </w:rPr>
        <w:t xml:space="preserve">To encourage more women to participate in the private sector, the </w:t>
      </w:r>
      <w:proofErr w:type="spellStart"/>
      <w:r w:rsidR="00472BE4">
        <w:rPr>
          <w:rFonts w:ascii="Times New Roman" w:hAnsi="Times New Roman" w:cs="Times New Roman"/>
          <w:b/>
          <w:bCs/>
        </w:rPr>
        <w:t>GoI</w:t>
      </w:r>
      <w:proofErr w:type="spellEnd"/>
      <w:r w:rsidR="00472BE4">
        <w:rPr>
          <w:rFonts w:ascii="Times New Roman" w:hAnsi="Times New Roman" w:cs="Times New Roman"/>
          <w:b/>
          <w:bCs/>
        </w:rPr>
        <w:t xml:space="preserve"> </w:t>
      </w:r>
      <w:r>
        <w:rPr>
          <w:rFonts w:ascii="Times New Roman" w:hAnsi="Times New Roman" w:cs="Times New Roman"/>
          <w:b/>
          <w:bCs/>
        </w:rPr>
        <w:t>needs to address specific issues related to childcare, equal pay, incentives for hiring women, taxation, and asset ownership.</w:t>
      </w:r>
      <w:r w:rsidRPr="00063DFA">
        <w:rPr>
          <w:rFonts w:ascii="Times New Roman" w:hAnsi="Times New Roman" w:cs="Times New Roman"/>
          <w:b/>
          <w:bCs/>
        </w:rPr>
        <w:t xml:space="preserve"> </w:t>
      </w:r>
      <w:r w:rsidR="00501857" w:rsidRPr="00394A4E">
        <w:rPr>
          <w:rFonts w:ascii="Times New Roman" w:hAnsi="Times New Roman" w:cs="Times New Roman"/>
        </w:rPr>
        <w:t xml:space="preserve">This </w:t>
      </w:r>
      <w:r>
        <w:rPr>
          <w:rFonts w:ascii="Times New Roman" w:hAnsi="Times New Roman" w:cs="Times New Roman"/>
        </w:rPr>
        <w:t xml:space="preserve">requires a collaborative public-private effort between the </w:t>
      </w:r>
      <w:proofErr w:type="spellStart"/>
      <w:r w:rsidR="00472BE4">
        <w:rPr>
          <w:rFonts w:ascii="Times New Roman" w:hAnsi="Times New Roman" w:cs="Times New Roman"/>
        </w:rPr>
        <w:t>GoI</w:t>
      </w:r>
      <w:proofErr w:type="spellEnd"/>
      <w:r w:rsidR="00472BE4">
        <w:rPr>
          <w:rFonts w:ascii="Times New Roman" w:hAnsi="Times New Roman" w:cs="Times New Roman"/>
        </w:rPr>
        <w:t xml:space="preserve"> </w:t>
      </w:r>
      <w:r w:rsidR="00501857" w:rsidRPr="00394A4E">
        <w:rPr>
          <w:rFonts w:ascii="Times New Roman" w:hAnsi="Times New Roman" w:cs="Times New Roman"/>
        </w:rPr>
        <w:t xml:space="preserve">and private entities </w:t>
      </w:r>
      <w:r>
        <w:rPr>
          <w:rFonts w:ascii="Times New Roman" w:hAnsi="Times New Roman" w:cs="Times New Roman"/>
        </w:rPr>
        <w:t>that</w:t>
      </w:r>
      <w:r w:rsidRPr="00394A4E">
        <w:rPr>
          <w:rFonts w:ascii="Times New Roman" w:hAnsi="Times New Roman" w:cs="Times New Roman"/>
        </w:rPr>
        <w:t xml:space="preserve"> </w:t>
      </w:r>
      <w:r>
        <w:rPr>
          <w:rFonts w:ascii="Times New Roman" w:hAnsi="Times New Roman" w:cs="Times New Roman"/>
        </w:rPr>
        <w:t>strive</w:t>
      </w:r>
      <w:r w:rsidR="00472BE4">
        <w:rPr>
          <w:rFonts w:ascii="Times New Roman" w:hAnsi="Times New Roman" w:cs="Times New Roman"/>
        </w:rPr>
        <w:t>s</w:t>
      </w:r>
      <w:r w:rsidRPr="00394A4E">
        <w:rPr>
          <w:rFonts w:ascii="Times New Roman" w:hAnsi="Times New Roman" w:cs="Times New Roman"/>
        </w:rPr>
        <w:t xml:space="preserve"> </w:t>
      </w:r>
      <w:r w:rsidR="00501857" w:rsidRPr="00394A4E">
        <w:rPr>
          <w:rFonts w:ascii="Times New Roman" w:hAnsi="Times New Roman" w:cs="Times New Roman"/>
        </w:rPr>
        <w:t xml:space="preserve">to improve gender inequality in the Indonesian labor force. </w:t>
      </w:r>
      <w:r w:rsidR="003861AC">
        <w:rPr>
          <w:rFonts w:ascii="Times New Roman" w:hAnsi="Times New Roman" w:cs="Times New Roman"/>
        </w:rPr>
        <w:t xml:space="preserve">The following </w:t>
      </w:r>
      <w:r w:rsidR="0036765C">
        <w:rPr>
          <w:rFonts w:ascii="Times New Roman" w:hAnsi="Times New Roman" w:cs="Times New Roman"/>
        </w:rPr>
        <w:t>will be</w:t>
      </w:r>
      <w:r w:rsidR="003861AC">
        <w:rPr>
          <w:rFonts w:ascii="Times New Roman" w:hAnsi="Times New Roman" w:cs="Times New Roman"/>
        </w:rPr>
        <w:t xml:space="preserve"> the main actors in achieving this collaboration: </w:t>
      </w:r>
      <w:r w:rsidR="00501857" w:rsidRPr="00394A4E">
        <w:rPr>
          <w:rFonts w:ascii="Times New Roman" w:hAnsi="Times New Roman" w:cs="Times New Roman"/>
        </w:rPr>
        <w:t xml:space="preserve">  </w:t>
      </w:r>
    </w:p>
    <w:p w14:paraId="4A897594" w14:textId="044B04EB" w:rsidR="00063DFA" w:rsidRDefault="00A61960" w:rsidP="00666C1D">
      <w:pPr>
        <w:pStyle w:val="ListParagraph"/>
        <w:numPr>
          <w:ilvl w:val="0"/>
          <w:numId w:val="23"/>
        </w:numPr>
        <w:jc w:val="both"/>
        <w:rPr>
          <w:rFonts w:ascii="Times New Roman" w:hAnsi="Times New Roman" w:cs="Times New Roman"/>
        </w:rPr>
      </w:pPr>
      <w:r w:rsidRPr="00501857">
        <w:rPr>
          <w:rFonts w:ascii="Times New Roman" w:hAnsi="Times New Roman" w:cs="Times New Roman"/>
          <w:b/>
          <w:bCs/>
        </w:rPr>
        <w:t>Ministries</w:t>
      </w:r>
      <w:r>
        <w:rPr>
          <w:rFonts w:ascii="Times New Roman" w:hAnsi="Times New Roman" w:cs="Times New Roman"/>
        </w:rPr>
        <w:t>:</w:t>
      </w:r>
      <w:r w:rsidR="00501857">
        <w:rPr>
          <w:rFonts w:ascii="Times New Roman" w:hAnsi="Times New Roman" w:cs="Times New Roman"/>
        </w:rPr>
        <w:t xml:space="preserve"> The</w:t>
      </w:r>
      <w:r w:rsidR="008172A0">
        <w:rPr>
          <w:rFonts w:ascii="Times New Roman" w:hAnsi="Times New Roman" w:cs="Times New Roman"/>
        </w:rPr>
        <w:t xml:space="preserve"> key ministries are the</w:t>
      </w:r>
      <w:r w:rsidR="00501857">
        <w:rPr>
          <w:rFonts w:ascii="Times New Roman" w:hAnsi="Times New Roman" w:cs="Times New Roman"/>
        </w:rPr>
        <w:t xml:space="preserve"> </w:t>
      </w:r>
      <w:r w:rsidR="00501857" w:rsidRPr="00501857">
        <w:rPr>
          <w:rFonts w:ascii="Times New Roman" w:hAnsi="Times New Roman" w:cs="Times New Roman"/>
        </w:rPr>
        <w:t>Minist</w:t>
      </w:r>
      <w:r w:rsidR="00472BE4">
        <w:rPr>
          <w:rFonts w:ascii="Times New Roman" w:hAnsi="Times New Roman" w:cs="Times New Roman"/>
        </w:rPr>
        <w:t>ry</w:t>
      </w:r>
      <w:r w:rsidR="00501857" w:rsidRPr="00501857">
        <w:rPr>
          <w:rFonts w:ascii="Times New Roman" w:hAnsi="Times New Roman" w:cs="Times New Roman"/>
        </w:rPr>
        <w:t xml:space="preserve"> of Women's Empowerment and Child Protection (PPPA), the Minist</w:t>
      </w:r>
      <w:r w:rsidR="00472BE4">
        <w:rPr>
          <w:rFonts w:ascii="Times New Roman" w:hAnsi="Times New Roman" w:cs="Times New Roman"/>
        </w:rPr>
        <w:t>ry</w:t>
      </w:r>
      <w:r w:rsidR="00501857" w:rsidRPr="00501857">
        <w:rPr>
          <w:rFonts w:ascii="Times New Roman" w:hAnsi="Times New Roman" w:cs="Times New Roman"/>
        </w:rPr>
        <w:t xml:space="preserve"> of Cooperatives and SMEs, the Minist</w:t>
      </w:r>
      <w:r w:rsidR="00472BE4">
        <w:rPr>
          <w:rFonts w:ascii="Times New Roman" w:hAnsi="Times New Roman" w:cs="Times New Roman"/>
        </w:rPr>
        <w:t>ry</w:t>
      </w:r>
      <w:r w:rsidR="00501857" w:rsidRPr="00501857">
        <w:rPr>
          <w:rFonts w:ascii="Times New Roman" w:hAnsi="Times New Roman" w:cs="Times New Roman"/>
        </w:rPr>
        <w:t xml:space="preserve"> of Tourism and Creative Economy, and the Minist</w:t>
      </w:r>
      <w:r w:rsidR="00472BE4">
        <w:rPr>
          <w:rFonts w:ascii="Times New Roman" w:hAnsi="Times New Roman" w:cs="Times New Roman"/>
        </w:rPr>
        <w:t>ry</w:t>
      </w:r>
      <w:r w:rsidR="00501857" w:rsidRPr="00501857">
        <w:rPr>
          <w:rFonts w:ascii="Times New Roman" w:hAnsi="Times New Roman" w:cs="Times New Roman"/>
        </w:rPr>
        <w:t xml:space="preserve"> of State-Owned Enterprises</w:t>
      </w:r>
      <w:r w:rsidR="00501857">
        <w:rPr>
          <w:rFonts w:ascii="Times New Roman" w:hAnsi="Times New Roman" w:cs="Times New Roman"/>
        </w:rPr>
        <w:t xml:space="preserve">. These ministries </w:t>
      </w:r>
      <w:r w:rsidR="00501857" w:rsidRPr="00501857">
        <w:rPr>
          <w:rFonts w:ascii="Times New Roman" w:hAnsi="Times New Roman" w:cs="Times New Roman"/>
        </w:rPr>
        <w:t>have</w:t>
      </w:r>
      <w:r w:rsidR="001F2677">
        <w:rPr>
          <w:rFonts w:ascii="Times New Roman" w:hAnsi="Times New Roman" w:cs="Times New Roman"/>
        </w:rPr>
        <w:t xml:space="preserve"> collectively </w:t>
      </w:r>
      <w:r w:rsidR="007E003F" w:rsidRPr="00CB5050">
        <w:rPr>
          <w:rFonts w:ascii="Times New Roman" w:hAnsi="Times New Roman" w:cs="Times New Roman"/>
        </w:rPr>
        <w:t>supported</w:t>
      </w:r>
      <w:r w:rsidR="00501857" w:rsidRPr="00501857">
        <w:rPr>
          <w:rFonts w:ascii="Times New Roman" w:hAnsi="Times New Roman" w:cs="Times New Roman"/>
        </w:rPr>
        <w:t xml:space="preserve"> MSMEs and gender equality. Other</w:t>
      </w:r>
      <w:r w:rsidR="00235616">
        <w:rPr>
          <w:rFonts w:ascii="Times New Roman" w:hAnsi="Times New Roman" w:cs="Times New Roman"/>
        </w:rPr>
        <w:t xml:space="preserve"> key public entities include</w:t>
      </w:r>
      <w:r w:rsidR="007E003F">
        <w:rPr>
          <w:rFonts w:ascii="Times New Roman" w:hAnsi="Times New Roman" w:cs="Times New Roman"/>
        </w:rPr>
        <w:t xml:space="preserve"> the National Commission on Violence against Women (</w:t>
      </w:r>
      <w:proofErr w:type="spellStart"/>
      <w:r w:rsidR="007E003F">
        <w:rPr>
          <w:rFonts w:ascii="Times New Roman" w:hAnsi="Times New Roman" w:cs="Times New Roman"/>
        </w:rPr>
        <w:t>Komnas</w:t>
      </w:r>
      <w:proofErr w:type="spellEnd"/>
      <w:r w:rsidR="007E003F">
        <w:rPr>
          <w:rFonts w:ascii="Times New Roman" w:hAnsi="Times New Roman" w:cs="Times New Roman"/>
        </w:rPr>
        <w:t xml:space="preserve"> Perempuan)</w:t>
      </w:r>
      <w:r w:rsidR="008367C1">
        <w:rPr>
          <w:rFonts w:ascii="Times New Roman" w:hAnsi="Times New Roman" w:cs="Times New Roman"/>
        </w:rPr>
        <w:t>,</w:t>
      </w:r>
      <w:r w:rsidR="00501857" w:rsidRPr="00501857">
        <w:rPr>
          <w:rFonts w:ascii="Times New Roman" w:hAnsi="Times New Roman" w:cs="Times New Roman"/>
        </w:rPr>
        <w:t xml:space="preserve"> and </w:t>
      </w:r>
      <w:r w:rsidR="00472BE4">
        <w:rPr>
          <w:rFonts w:ascii="Times New Roman" w:hAnsi="Times New Roman" w:cs="Times New Roman"/>
        </w:rPr>
        <w:t>t</w:t>
      </w:r>
      <w:r w:rsidR="00501857" w:rsidRPr="00501857">
        <w:rPr>
          <w:rFonts w:ascii="Times New Roman" w:hAnsi="Times New Roman" w:cs="Times New Roman"/>
        </w:rPr>
        <w:t xml:space="preserve">he Ministry of Manpower. The Ministry of Manpower is </w:t>
      </w:r>
      <w:r w:rsidR="00E61CC0">
        <w:rPr>
          <w:rFonts w:ascii="Times New Roman" w:hAnsi="Times New Roman" w:cs="Times New Roman"/>
        </w:rPr>
        <w:t xml:space="preserve">particularly </w:t>
      </w:r>
      <w:r w:rsidR="00501857" w:rsidRPr="00501857">
        <w:rPr>
          <w:rFonts w:ascii="Times New Roman" w:hAnsi="Times New Roman" w:cs="Times New Roman"/>
        </w:rPr>
        <w:t xml:space="preserve">active in improving the competency and quality among women workers through training at job training centers (BLK). </w:t>
      </w:r>
      <w:proofErr w:type="spellStart"/>
      <w:r w:rsidR="00501857" w:rsidRPr="00501857">
        <w:rPr>
          <w:rFonts w:ascii="Times New Roman" w:hAnsi="Times New Roman" w:cs="Times New Roman"/>
        </w:rPr>
        <w:t>Komnas</w:t>
      </w:r>
      <w:proofErr w:type="spellEnd"/>
      <w:r w:rsidR="00501857" w:rsidRPr="00501857">
        <w:rPr>
          <w:rFonts w:ascii="Times New Roman" w:hAnsi="Times New Roman" w:cs="Times New Roman"/>
        </w:rPr>
        <w:t xml:space="preserve"> </w:t>
      </w:r>
      <w:r w:rsidR="007E003F">
        <w:rPr>
          <w:rFonts w:ascii="Times New Roman" w:hAnsi="Times New Roman" w:cs="Times New Roman"/>
        </w:rPr>
        <w:t>Perempuan</w:t>
      </w:r>
      <w:r w:rsidR="0036765C">
        <w:rPr>
          <w:rFonts w:ascii="Times New Roman" w:hAnsi="Times New Roman" w:cs="Times New Roman"/>
        </w:rPr>
        <w:t>’</w:t>
      </w:r>
      <w:r w:rsidR="007E003F">
        <w:rPr>
          <w:rFonts w:ascii="Times New Roman" w:hAnsi="Times New Roman" w:cs="Times New Roman"/>
        </w:rPr>
        <w:t>s mission is to eliminate violence against women by creating measures that promote</w:t>
      </w:r>
      <w:r w:rsidR="00501857" w:rsidRPr="00501857">
        <w:rPr>
          <w:rFonts w:ascii="Times New Roman" w:hAnsi="Times New Roman" w:cs="Times New Roman"/>
        </w:rPr>
        <w:t xml:space="preserve"> women’s human rights</w:t>
      </w:r>
      <w:r w:rsidR="00074276">
        <w:t xml:space="preserve">. </w:t>
      </w:r>
      <w:r w:rsidR="00501857" w:rsidRPr="00501857">
        <w:rPr>
          <w:rFonts w:ascii="Times New Roman" w:hAnsi="Times New Roman" w:cs="Times New Roman"/>
        </w:rPr>
        <w:t xml:space="preserve"> </w:t>
      </w:r>
    </w:p>
    <w:p w14:paraId="35926EE5" w14:textId="760E41C2" w:rsidR="00501857" w:rsidRDefault="004C70DD" w:rsidP="00666C1D">
      <w:pPr>
        <w:pStyle w:val="ListParagraph"/>
        <w:numPr>
          <w:ilvl w:val="0"/>
          <w:numId w:val="23"/>
        </w:numPr>
        <w:jc w:val="both"/>
        <w:rPr>
          <w:rFonts w:ascii="Times New Roman" w:hAnsi="Times New Roman" w:cs="Times New Roman"/>
        </w:rPr>
      </w:pPr>
      <w:r w:rsidRPr="00063DFA">
        <w:rPr>
          <w:rFonts w:ascii="Times New Roman" w:hAnsi="Times New Roman" w:cs="Times New Roman"/>
          <w:b/>
          <w:bCs/>
        </w:rPr>
        <w:t xml:space="preserve">Private </w:t>
      </w:r>
      <w:r w:rsidR="00AA42E4" w:rsidRPr="00063DFA">
        <w:rPr>
          <w:rFonts w:ascii="Times New Roman" w:hAnsi="Times New Roman" w:cs="Times New Roman"/>
          <w:b/>
          <w:bCs/>
        </w:rPr>
        <w:t>organizations and civil societ</w:t>
      </w:r>
      <w:r w:rsidR="00063DFA">
        <w:rPr>
          <w:rFonts w:ascii="Times New Roman" w:hAnsi="Times New Roman" w:cs="Times New Roman"/>
          <w:b/>
          <w:bCs/>
        </w:rPr>
        <w:t xml:space="preserve">y </w:t>
      </w:r>
      <w:r w:rsidR="006927BF" w:rsidRPr="00063DFA">
        <w:rPr>
          <w:rFonts w:ascii="Times New Roman" w:hAnsi="Times New Roman" w:cs="Times New Roman"/>
        </w:rPr>
        <w:t>such as</w:t>
      </w:r>
      <w:r w:rsidR="00AA42E4" w:rsidRPr="00063DFA">
        <w:rPr>
          <w:rFonts w:ascii="Times New Roman" w:hAnsi="Times New Roman" w:cs="Times New Roman"/>
        </w:rPr>
        <w:t xml:space="preserve"> the Indonesian Employer’s </w:t>
      </w:r>
      <w:r w:rsidR="007E003F">
        <w:rPr>
          <w:rFonts w:ascii="Times New Roman" w:hAnsi="Times New Roman" w:cs="Times New Roman"/>
        </w:rPr>
        <w:t>Association</w:t>
      </w:r>
      <w:r w:rsidR="007E003F" w:rsidRPr="00063DFA">
        <w:rPr>
          <w:rFonts w:ascii="Times New Roman" w:hAnsi="Times New Roman" w:cs="Times New Roman"/>
        </w:rPr>
        <w:t xml:space="preserve"> </w:t>
      </w:r>
      <w:r w:rsidR="00AA42E4" w:rsidRPr="00063DFA">
        <w:rPr>
          <w:rFonts w:ascii="Times New Roman" w:hAnsi="Times New Roman" w:cs="Times New Roman"/>
        </w:rPr>
        <w:t xml:space="preserve">(APINDO), </w:t>
      </w:r>
      <w:r w:rsidR="00074276" w:rsidRPr="00063DFA">
        <w:rPr>
          <w:rFonts w:ascii="Times New Roman" w:hAnsi="Times New Roman" w:cs="Times New Roman"/>
        </w:rPr>
        <w:t xml:space="preserve">the Association of Indonesian Women Business Owners </w:t>
      </w:r>
      <w:r w:rsidR="00A61960" w:rsidRPr="00063DFA">
        <w:rPr>
          <w:rFonts w:ascii="Times New Roman" w:hAnsi="Times New Roman" w:cs="Times New Roman"/>
        </w:rPr>
        <w:t>(IWAPI</w:t>
      </w:r>
      <w:r w:rsidR="00074276" w:rsidRPr="00063DFA">
        <w:rPr>
          <w:rFonts w:ascii="Times New Roman" w:hAnsi="Times New Roman" w:cs="Times New Roman"/>
        </w:rPr>
        <w:t>)</w:t>
      </w:r>
      <w:r w:rsidR="00AA42E4" w:rsidRPr="00063DFA">
        <w:rPr>
          <w:rFonts w:ascii="Times New Roman" w:hAnsi="Times New Roman" w:cs="Times New Roman"/>
        </w:rPr>
        <w:t>,</w:t>
      </w:r>
      <w:r w:rsidR="00074276" w:rsidRPr="00063DFA">
        <w:rPr>
          <w:rFonts w:ascii="Times New Roman" w:hAnsi="Times New Roman" w:cs="Times New Roman"/>
        </w:rPr>
        <w:t xml:space="preserve"> and</w:t>
      </w:r>
      <w:r w:rsidR="00AA42E4" w:rsidRPr="00063DFA">
        <w:rPr>
          <w:rFonts w:ascii="Times New Roman" w:hAnsi="Times New Roman" w:cs="Times New Roman"/>
        </w:rPr>
        <w:t xml:space="preserve"> Women World Banking</w:t>
      </w:r>
      <w:r w:rsidR="00074276" w:rsidRPr="00063DFA">
        <w:rPr>
          <w:rFonts w:ascii="Times New Roman" w:hAnsi="Times New Roman" w:cs="Times New Roman"/>
        </w:rPr>
        <w:t>.</w:t>
      </w:r>
    </w:p>
    <w:p w14:paraId="415F1FEA" w14:textId="77777777" w:rsidR="003A238E" w:rsidRDefault="003A238E" w:rsidP="003A238E">
      <w:pPr>
        <w:jc w:val="both"/>
        <w:rPr>
          <w:rFonts w:ascii="Times New Roman" w:hAnsi="Times New Roman" w:cs="Times New Roman"/>
        </w:rPr>
      </w:pPr>
    </w:p>
    <w:p w14:paraId="3C56831A" w14:textId="77777777" w:rsidR="00577B2E" w:rsidRDefault="00577B2E">
      <w:pPr>
        <w:rPr>
          <w:rFonts w:ascii="Times New Roman" w:hAnsi="Times New Roman" w:cs="Times New Roman"/>
          <w:b/>
          <w:bCs/>
          <w:sz w:val="28"/>
          <w:szCs w:val="28"/>
        </w:rPr>
      </w:pPr>
      <w:r>
        <w:rPr>
          <w:rFonts w:ascii="Times New Roman" w:hAnsi="Times New Roman" w:cs="Times New Roman"/>
          <w:b/>
          <w:bCs/>
          <w:sz w:val="28"/>
          <w:szCs w:val="28"/>
        </w:rPr>
        <w:br w:type="page"/>
      </w:r>
    </w:p>
    <w:p w14:paraId="419DEADA" w14:textId="3B580F7A" w:rsidR="003A238E" w:rsidRPr="0045236E" w:rsidRDefault="003A238E" w:rsidP="003A238E">
      <w:pPr>
        <w:jc w:val="both"/>
        <w:rPr>
          <w:rFonts w:ascii="Times New Roman" w:hAnsi="Times New Roman" w:cs="Times New Roman"/>
          <w:b/>
          <w:bCs/>
          <w:sz w:val="28"/>
          <w:szCs w:val="28"/>
        </w:rPr>
      </w:pPr>
      <w:r w:rsidRPr="0045236E">
        <w:rPr>
          <w:rFonts w:ascii="Times New Roman" w:hAnsi="Times New Roman" w:cs="Times New Roman"/>
          <w:b/>
          <w:bCs/>
          <w:sz w:val="28"/>
          <w:szCs w:val="28"/>
        </w:rPr>
        <w:lastRenderedPageBreak/>
        <w:t>References</w:t>
      </w:r>
    </w:p>
    <w:p w14:paraId="593C24AA" w14:textId="3EBBD029" w:rsidR="008435DD" w:rsidRDefault="008435DD" w:rsidP="008435DD">
      <w:pPr>
        <w:jc w:val="both"/>
        <w:rPr>
          <w:rFonts w:ascii="Times New Roman" w:hAnsi="Times New Roman" w:cs="Times New Roman"/>
        </w:rPr>
      </w:pPr>
      <w:r w:rsidRPr="008435DD">
        <w:rPr>
          <w:rFonts w:ascii="Times New Roman" w:hAnsi="Times New Roman" w:cs="Times New Roman"/>
        </w:rPr>
        <w:t>Leon J.H. Bettendorf</w:t>
      </w:r>
      <w:r>
        <w:rPr>
          <w:rFonts w:ascii="Times New Roman" w:hAnsi="Times New Roman" w:cs="Times New Roman"/>
        </w:rPr>
        <w:t>, Leon J.H.</w:t>
      </w:r>
      <w:r w:rsidRPr="008435DD">
        <w:rPr>
          <w:rFonts w:ascii="Times New Roman" w:hAnsi="Times New Roman" w:cs="Times New Roman"/>
        </w:rPr>
        <w:t xml:space="preserve">, </w:t>
      </w:r>
      <w:proofErr w:type="spellStart"/>
      <w:r>
        <w:rPr>
          <w:rFonts w:ascii="Times New Roman" w:hAnsi="Times New Roman" w:cs="Times New Roman"/>
        </w:rPr>
        <w:t>Jongen</w:t>
      </w:r>
      <w:proofErr w:type="spellEnd"/>
      <w:r>
        <w:rPr>
          <w:rFonts w:ascii="Times New Roman" w:hAnsi="Times New Roman" w:cs="Times New Roman"/>
        </w:rPr>
        <w:t xml:space="preserve"> L.W. </w:t>
      </w:r>
      <w:r w:rsidRPr="008435DD">
        <w:rPr>
          <w:rFonts w:ascii="Times New Roman" w:hAnsi="Times New Roman" w:cs="Times New Roman"/>
        </w:rPr>
        <w:t xml:space="preserve">Egbert, </w:t>
      </w:r>
      <w:r>
        <w:rPr>
          <w:rFonts w:ascii="Times New Roman" w:hAnsi="Times New Roman" w:cs="Times New Roman"/>
        </w:rPr>
        <w:t xml:space="preserve">and </w:t>
      </w:r>
      <w:r w:rsidRPr="008435DD">
        <w:rPr>
          <w:rFonts w:ascii="Times New Roman" w:hAnsi="Times New Roman" w:cs="Times New Roman"/>
        </w:rPr>
        <w:t>Paul Muller</w:t>
      </w:r>
      <w:r>
        <w:rPr>
          <w:rFonts w:ascii="Times New Roman" w:hAnsi="Times New Roman" w:cs="Times New Roman"/>
        </w:rPr>
        <w:t>. 2015. “</w:t>
      </w:r>
      <w:r w:rsidRPr="008435DD">
        <w:rPr>
          <w:rFonts w:ascii="Times New Roman" w:hAnsi="Times New Roman" w:cs="Times New Roman"/>
        </w:rPr>
        <w:t xml:space="preserve">Childcare subsidies and </w:t>
      </w:r>
      <w:proofErr w:type="spellStart"/>
      <w:r w:rsidRPr="008435DD">
        <w:rPr>
          <w:rFonts w:ascii="Times New Roman" w:hAnsi="Times New Roman" w:cs="Times New Roman"/>
        </w:rPr>
        <w:t>labour</w:t>
      </w:r>
      <w:proofErr w:type="spellEnd"/>
      <w:r w:rsidRPr="008435DD">
        <w:rPr>
          <w:rFonts w:ascii="Times New Roman" w:hAnsi="Times New Roman" w:cs="Times New Roman"/>
        </w:rPr>
        <w:t xml:space="preserve"> supply—Evidence from a large Dutch reform</w:t>
      </w:r>
      <w:r>
        <w:rPr>
          <w:rFonts w:ascii="Times New Roman" w:hAnsi="Times New Roman" w:cs="Times New Roman"/>
        </w:rPr>
        <w:t xml:space="preserve">.” </w:t>
      </w:r>
      <w:proofErr w:type="spellStart"/>
      <w:r w:rsidRPr="00CB5050">
        <w:rPr>
          <w:rFonts w:ascii="Times New Roman" w:hAnsi="Times New Roman" w:cs="Times New Roman"/>
          <w:i/>
          <w:iCs/>
        </w:rPr>
        <w:t>Labour</w:t>
      </w:r>
      <w:proofErr w:type="spellEnd"/>
      <w:r w:rsidRPr="00CB5050">
        <w:rPr>
          <w:rFonts w:ascii="Times New Roman" w:hAnsi="Times New Roman" w:cs="Times New Roman"/>
          <w:i/>
          <w:iCs/>
        </w:rPr>
        <w:t xml:space="preserve"> Economics</w:t>
      </w:r>
      <w:r>
        <w:rPr>
          <w:rFonts w:ascii="Times New Roman" w:hAnsi="Times New Roman" w:cs="Times New Roman"/>
          <w:i/>
          <w:iCs/>
        </w:rPr>
        <w:t xml:space="preserve"> </w:t>
      </w:r>
      <w:r w:rsidRPr="008435DD">
        <w:rPr>
          <w:rFonts w:ascii="Times New Roman" w:hAnsi="Times New Roman" w:cs="Times New Roman"/>
        </w:rPr>
        <w:t>36</w:t>
      </w:r>
      <w:r>
        <w:rPr>
          <w:rFonts w:ascii="Times New Roman" w:hAnsi="Times New Roman" w:cs="Times New Roman"/>
        </w:rPr>
        <w:t xml:space="preserve"> </w:t>
      </w:r>
      <w:r w:rsidRPr="008435DD">
        <w:rPr>
          <w:rFonts w:ascii="Times New Roman" w:hAnsi="Times New Roman" w:cs="Times New Roman"/>
        </w:rPr>
        <w:t>112</w:t>
      </w:r>
      <w:r>
        <w:rPr>
          <w:rFonts w:ascii="Times New Roman" w:hAnsi="Times New Roman" w:cs="Times New Roman"/>
        </w:rPr>
        <w:t>–</w:t>
      </w:r>
      <w:r w:rsidRPr="008435DD">
        <w:rPr>
          <w:rFonts w:ascii="Times New Roman" w:hAnsi="Times New Roman" w:cs="Times New Roman"/>
        </w:rPr>
        <w:t>123</w:t>
      </w:r>
      <w:r>
        <w:rPr>
          <w:rFonts w:ascii="Times New Roman" w:hAnsi="Times New Roman" w:cs="Times New Roman"/>
        </w:rPr>
        <w:t xml:space="preserve">. </w:t>
      </w:r>
      <w:hyperlink r:id="rId23" w:history="1">
        <w:r w:rsidRPr="00E73480">
          <w:rPr>
            <w:rStyle w:val="Hyperlink"/>
            <w:rFonts w:ascii="Times New Roman" w:hAnsi="Times New Roman" w:cs="Times New Roman"/>
          </w:rPr>
          <w:t>https://doi.org/10.1016/j.labeco.2015.03.007</w:t>
        </w:r>
      </w:hyperlink>
      <w:r w:rsidRPr="008435DD">
        <w:rPr>
          <w:rFonts w:ascii="Times New Roman" w:hAnsi="Times New Roman" w:cs="Times New Roman"/>
        </w:rPr>
        <w:t>.</w:t>
      </w:r>
    </w:p>
    <w:p w14:paraId="7E6B6FC5" w14:textId="1DC993E9" w:rsidR="00931EC4" w:rsidRPr="00931EC4" w:rsidRDefault="00931EC4" w:rsidP="008435DD">
      <w:pPr>
        <w:jc w:val="both"/>
        <w:rPr>
          <w:rFonts w:ascii="Times New Roman" w:hAnsi="Times New Roman" w:cs="Times New Roman"/>
        </w:rPr>
      </w:pPr>
      <w:r w:rsidRPr="00931EC4">
        <w:rPr>
          <w:rFonts w:ascii="Times New Roman" w:hAnsi="Times New Roman" w:cs="Times New Roman"/>
        </w:rPr>
        <w:t>Federal Assembly of the Swiss Confederation</w:t>
      </w:r>
      <w:r>
        <w:rPr>
          <w:rFonts w:ascii="Times New Roman" w:hAnsi="Times New Roman" w:cs="Times New Roman"/>
        </w:rPr>
        <w:t xml:space="preserve">. 2020. </w:t>
      </w:r>
      <w:r w:rsidRPr="00931EC4">
        <w:rPr>
          <w:rFonts w:ascii="Times New Roman" w:hAnsi="Times New Roman" w:cs="Times New Roman"/>
        </w:rPr>
        <w:t>Federal Act</w:t>
      </w:r>
      <w:r>
        <w:rPr>
          <w:rFonts w:ascii="Times New Roman" w:hAnsi="Times New Roman" w:cs="Times New Roman"/>
        </w:rPr>
        <w:t xml:space="preserve"> </w:t>
      </w:r>
      <w:r w:rsidRPr="00931EC4">
        <w:rPr>
          <w:rFonts w:ascii="Times New Roman" w:hAnsi="Times New Roman" w:cs="Times New Roman"/>
        </w:rPr>
        <w:t>on Gender Equality</w:t>
      </w:r>
      <w:r>
        <w:rPr>
          <w:rFonts w:ascii="Times New Roman" w:hAnsi="Times New Roman" w:cs="Times New Roman"/>
        </w:rPr>
        <w:t xml:space="preserve"> </w:t>
      </w:r>
      <w:r w:rsidRPr="00931EC4">
        <w:rPr>
          <w:rFonts w:ascii="Times New Roman" w:hAnsi="Times New Roman" w:cs="Times New Roman"/>
        </w:rPr>
        <w:t>(Gender Equality Act, GEA)</w:t>
      </w:r>
      <w:r>
        <w:rPr>
          <w:rFonts w:ascii="Times New Roman" w:hAnsi="Times New Roman" w:cs="Times New Roman"/>
        </w:rPr>
        <w:t xml:space="preserve"> </w:t>
      </w:r>
      <w:r w:rsidRPr="00931EC4">
        <w:rPr>
          <w:rFonts w:ascii="Times New Roman" w:hAnsi="Times New Roman" w:cs="Times New Roman"/>
        </w:rPr>
        <w:t>of 24 March 1995 (Status as of 1 July 2020)</w:t>
      </w:r>
      <w:r>
        <w:rPr>
          <w:rFonts w:ascii="Times New Roman" w:hAnsi="Times New Roman" w:cs="Times New Roman"/>
        </w:rPr>
        <w:t xml:space="preserve">. </w:t>
      </w:r>
    </w:p>
    <w:p w14:paraId="6435332C" w14:textId="0BF61165" w:rsidR="003A238E" w:rsidRPr="00CB5050" w:rsidRDefault="003A238E" w:rsidP="00931EC4">
      <w:pPr>
        <w:jc w:val="both"/>
        <w:rPr>
          <w:rFonts w:ascii="Times New Roman" w:hAnsi="Times New Roman" w:cs="Times New Roman"/>
          <w:b/>
          <w:bCs/>
        </w:rPr>
      </w:pPr>
      <w:proofErr w:type="spellStart"/>
      <w:r w:rsidRPr="00A04CA8">
        <w:rPr>
          <w:rFonts w:ascii="Times New Roman" w:hAnsi="Times New Roman" w:cs="Times New Roman"/>
        </w:rPr>
        <w:t>GoI</w:t>
      </w:r>
      <w:proofErr w:type="spellEnd"/>
      <w:r w:rsidRPr="00A04CA8">
        <w:rPr>
          <w:rFonts w:ascii="Times New Roman" w:hAnsi="Times New Roman" w:cs="Times New Roman"/>
        </w:rPr>
        <w:t xml:space="preserve"> (Government of Indonesia).</w:t>
      </w:r>
      <w:r>
        <w:rPr>
          <w:rFonts w:ascii="Times New Roman" w:hAnsi="Times New Roman" w:cs="Times New Roman"/>
        </w:rPr>
        <w:t xml:space="preserve"> </w:t>
      </w:r>
      <w:r w:rsidRPr="003A238E">
        <w:rPr>
          <w:rFonts w:ascii="Times New Roman" w:hAnsi="Times New Roman" w:cs="Times New Roman"/>
        </w:rPr>
        <w:t>Law No. 1/1974 on Marriage.</w:t>
      </w:r>
      <w:r>
        <w:rPr>
          <w:rFonts w:ascii="Times New Roman" w:hAnsi="Times New Roman" w:cs="Times New Roman"/>
        </w:rPr>
        <w:t xml:space="preserve"> Jakarta. </w:t>
      </w:r>
    </w:p>
    <w:p w14:paraId="15CB8E65" w14:textId="77777777" w:rsidR="00970BB2" w:rsidRDefault="003A238E" w:rsidP="003A238E">
      <w:pPr>
        <w:jc w:val="both"/>
        <w:rPr>
          <w:rFonts w:ascii="Times New Roman" w:hAnsi="Times New Roman" w:cs="Times New Roman"/>
        </w:rPr>
      </w:pPr>
      <w:proofErr w:type="spellStart"/>
      <w:r w:rsidRPr="00CB5050">
        <w:rPr>
          <w:rFonts w:ascii="Times New Roman" w:hAnsi="Times New Roman" w:cs="Times New Roman"/>
        </w:rPr>
        <w:t>GoI</w:t>
      </w:r>
      <w:proofErr w:type="spellEnd"/>
      <w:r w:rsidRPr="00CB5050">
        <w:rPr>
          <w:rFonts w:ascii="Times New Roman" w:hAnsi="Times New Roman" w:cs="Times New Roman"/>
        </w:rPr>
        <w:t xml:space="preserve"> (Government of Indonesia). </w:t>
      </w:r>
      <w:r w:rsidRPr="003A238E">
        <w:rPr>
          <w:rFonts w:ascii="Times New Roman" w:hAnsi="Times New Roman" w:cs="Times New Roman"/>
        </w:rPr>
        <w:t>Government Regulation No. 33/1977 on Social Insurance.</w:t>
      </w:r>
      <w:r>
        <w:rPr>
          <w:rFonts w:ascii="Times New Roman" w:hAnsi="Times New Roman" w:cs="Times New Roman"/>
        </w:rPr>
        <w:t xml:space="preserve"> Jakarta.</w:t>
      </w:r>
    </w:p>
    <w:p w14:paraId="6C101FEA" w14:textId="0F525CC1" w:rsidR="003861AC" w:rsidRDefault="003861AC" w:rsidP="003A238E">
      <w:pPr>
        <w:jc w:val="both"/>
        <w:rPr>
          <w:rFonts w:ascii="Times New Roman" w:hAnsi="Times New Roman" w:cs="Times New Roman"/>
        </w:rPr>
      </w:pPr>
      <w:proofErr w:type="spellStart"/>
      <w:r>
        <w:rPr>
          <w:rFonts w:ascii="Times New Roman" w:hAnsi="Times New Roman" w:cs="Times New Roman"/>
        </w:rPr>
        <w:t>GoI</w:t>
      </w:r>
      <w:proofErr w:type="spellEnd"/>
      <w:r>
        <w:rPr>
          <w:rFonts w:ascii="Times New Roman" w:hAnsi="Times New Roman" w:cs="Times New Roman"/>
        </w:rPr>
        <w:t xml:space="preserve"> (Government of Indonesia). 2007. Law No. 40/2007. </w:t>
      </w:r>
      <w:hyperlink r:id="rId24" w:history="1">
        <w:r w:rsidRPr="00421F67">
          <w:rPr>
            <w:rStyle w:val="Hyperlink"/>
            <w:rFonts w:ascii="Times New Roman" w:hAnsi="Times New Roman" w:cs="Times New Roman"/>
          </w:rPr>
          <w:t>https://www.ojk.go.id/sustainable-finance/id/peraturan/undang-undang/Documents/5.%20UU-40-2007%20PERSEROAN%20TERBATAS.pdf</w:t>
        </w:r>
      </w:hyperlink>
    </w:p>
    <w:p w14:paraId="7B5CB5BC" w14:textId="4D7EDFB9" w:rsidR="00931EC4" w:rsidRDefault="00931EC4" w:rsidP="00970BB2">
      <w:pPr>
        <w:jc w:val="both"/>
        <w:rPr>
          <w:rFonts w:ascii="Times New Roman" w:hAnsi="Times New Roman" w:cs="Times New Roman"/>
        </w:rPr>
      </w:pPr>
      <w:r>
        <w:rPr>
          <w:rFonts w:ascii="Times New Roman" w:hAnsi="Times New Roman" w:cs="Times New Roman"/>
        </w:rPr>
        <w:t xml:space="preserve">Government of the Republic of France. 2022. </w:t>
      </w:r>
      <w:r w:rsidRPr="00931EC4">
        <w:rPr>
          <w:rFonts w:ascii="Times New Roman" w:hAnsi="Times New Roman" w:cs="Times New Roman"/>
        </w:rPr>
        <w:t>Decree No. 2022-680 of April 26, 2022 relating to measures aimed at ensuring a balanced distribution of each gender among senior executives and members of governing bodies</w:t>
      </w:r>
      <w:r>
        <w:rPr>
          <w:rFonts w:ascii="Times New Roman" w:hAnsi="Times New Roman" w:cs="Times New Roman"/>
        </w:rPr>
        <w:t xml:space="preserve">. </w:t>
      </w:r>
      <w:r w:rsidRPr="00931EC4">
        <w:rPr>
          <w:rFonts w:ascii="Times New Roman" w:hAnsi="Times New Roman" w:cs="Times New Roman"/>
        </w:rPr>
        <w:t>https://www.legifrance.gouv.fr/eli/decret/2022/4/26/MTRT2208364D/jo/texte</w:t>
      </w:r>
    </w:p>
    <w:p w14:paraId="79713363" w14:textId="02B1E350" w:rsidR="00B92BFA" w:rsidRDefault="00B92BFA" w:rsidP="00B92BFA">
      <w:pPr>
        <w:jc w:val="both"/>
        <w:rPr>
          <w:rFonts w:ascii="Times New Roman" w:hAnsi="Times New Roman" w:cs="Times New Roman"/>
        </w:rPr>
      </w:pPr>
      <w:r>
        <w:rPr>
          <w:rFonts w:ascii="Times New Roman" w:hAnsi="Times New Roman" w:cs="Times New Roman"/>
        </w:rPr>
        <w:t xml:space="preserve">Government of the Republic of Korea. 2018. </w:t>
      </w:r>
      <w:r w:rsidRPr="00612E98">
        <w:rPr>
          <w:rFonts w:ascii="Times New Roman" w:hAnsi="Times New Roman" w:cs="Times New Roman"/>
          <w:i/>
          <w:iCs/>
        </w:rPr>
        <w:t>Welfare Services Guidelines. 50 Main Welfare Programs in Korea.</w:t>
      </w:r>
      <w:r>
        <w:rPr>
          <w:rFonts w:ascii="Times New Roman" w:hAnsi="Times New Roman" w:cs="Times New Roman"/>
        </w:rPr>
        <w:t xml:space="preserve"> Ministry of Health and Welfare</w:t>
      </w:r>
      <w:r w:rsidR="0036765C">
        <w:rPr>
          <w:rFonts w:ascii="Times New Roman" w:hAnsi="Times New Roman" w:cs="Times New Roman"/>
        </w:rPr>
        <w:t>.</w:t>
      </w:r>
      <w:r>
        <w:rPr>
          <w:rFonts w:ascii="Times New Roman" w:hAnsi="Times New Roman" w:cs="Times New Roman"/>
        </w:rPr>
        <w:t xml:space="preserve"> </w:t>
      </w:r>
      <w:r w:rsidR="0036765C" w:rsidRPr="0036765C">
        <w:rPr>
          <w:rFonts w:ascii="Times New Roman" w:hAnsi="Times New Roman" w:cs="Times New Roman"/>
        </w:rPr>
        <w:t>https://www.mohw.go.kr/gallery.es?mid=a20404000000&amp;bid=0011&amp;b_list=10&amp;act=view&amp;list_no=378786&amp;nPage=1&amp;vlist_no_npage=1&amp;keyField=&amp;orderby=&amp;cg_code=</w:t>
      </w:r>
    </w:p>
    <w:p w14:paraId="61FE3801" w14:textId="1E6165A1" w:rsidR="003A238E" w:rsidRDefault="00970BB2" w:rsidP="00970BB2">
      <w:pPr>
        <w:jc w:val="both"/>
        <w:rPr>
          <w:rFonts w:ascii="Times New Roman" w:hAnsi="Times New Roman" w:cs="Times New Roman"/>
        </w:rPr>
      </w:pPr>
      <w:r>
        <w:rPr>
          <w:rFonts w:ascii="Times New Roman" w:hAnsi="Times New Roman" w:cs="Times New Roman"/>
        </w:rPr>
        <w:t xml:space="preserve">Government of the Republic of Korea. 2022. Child Care Act. </w:t>
      </w:r>
      <w:r w:rsidRPr="00970BB2">
        <w:rPr>
          <w:rFonts w:ascii="Times New Roman" w:hAnsi="Times New Roman" w:cs="Times New Roman"/>
        </w:rPr>
        <w:t>Enforcement Date 11 Dec</w:t>
      </w:r>
      <w:r>
        <w:rPr>
          <w:rFonts w:ascii="Times New Roman" w:hAnsi="Times New Roman" w:cs="Times New Roman"/>
        </w:rPr>
        <w:t>ember</w:t>
      </w:r>
      <w:r w:rsidRPr="00970BB2">
        <w:rPr>
          <w:rFonts w:ascii="Times New Roman" w:hAnsi="Times New Roman" w:cs="Times New Roman"/>
        </w:rPr>
        <w:t xml:space="preserve"> 2022.</w:t>
      </w:r>
      <w:r>
        <w:rPr>
          <w:rFonts w:ascii="Times New Roman" w:hAnsi="Times New Roman" w:cs="Times New Roman"/>
        </w:rPr>
        <w:t xml:space="preserve"> </w:t>
      </w:r>
      <w:r w:rsidRPr="00970BB2">
        <w:rPr>
          <w:rFonts w:ascii="Times New Roman" w:hAnsi="Times New Roman" w:cs="Times New Roman"/>
        </w:rPr>
        <w:t>Act No.18899</w:t>
      </w:r>
      <w:r>
        <w:rPr>
          <w:rFonts w:ascii="Times New Roman" w:hAnsi="Times New Roman" w:cs="Times New Roman"/>
        </w:rPr>
        <w:t>.</w:t>
      </w:r>
      <w:r w:rsidRPr="00970BB2">
        <w:rPr>
          <w:rFonts w:ascii="Times New Roman" w:hAnsi="Times New Roman" w:cs="Times New Roman"/>
        </w:rPr>
        <w:t xml:space="preserve"> 10 Jun</w:t>
      </w:r>
      <w:r>
        <w:rPr>
          <w:rFonts w:ascii="Times New Roman" w:hAnsi="Times New Roman" w:cs="Times New Roman"/>
        </w:rPr>
        <w:t>e</w:t>
      </w:r>
      <w:r w:rsidRPr="00970BB2">
        <w:rPr>
          <w:rFonts w:ascii="Times New Roman" w:hAnsi="Times New Roman" w:cs="Times New Roman"/>
        </w:rPr>
        <w:t xml:space="preserve"> 2022. Partial Amendment</w:t>
      </w:r>
      <w:r>
        <w:rPr>
          <w:rFonts w:ascii="Times New Roman" w:hAnsi="Times New Roman" w:cs="Times New Roman"/>
        </w:rPr>
        <w:t xml:space="preserve">. </w:t>
      </w:r>
      <w:r w:rsidRPr="00970BB2">
        <w:rPr>
          <w:rFonts w:ascii="Times New Roman" w:hAnsi="Times New Roman" w:cs="Times New Roman"/>
        </w:rPr>
        <w:t>Ministry of Health and Welfare (Childcare Policy Division) 044-202-3551</w:t>
      </w:r>
      <w:r w:rsidR="00931EC4">
        <w:rPr>
          <w:rFonts w:ascii="Times New Roman" w:hAnsi="Times New Roman" w:cs="Times New Roman"/>
        </w:rPr>
        <w:t>.</w:t>
      </w:r>
      <w:r w:rsidR="003A238E">
        <w:rPr>
          <w:rFonts w:ascii="Times New Roman" w:hAnsi="Times New Roman" w:cs="Times New Roman"/>
        </w:rPr>
        <w:t xml:space="preserve"> </w:t>
      </w:r>
      <w:hyperlink r:id="rId25" w:history="1">
        <w:r w:rsidR="002E6776" w:rsidRPr="00191201">
          <w:rPr>
            <w:rStyle w:val="Hyperlink"/>
            <w:rFonts w:ascii="Times New Roman" w:hAnsi="Times New Roman" w:cs="Times New Roman"/>
          </w:rPr>
          <w:t>https://www.law.go.kr/engLsSc.do?menuId=1&amp;subMenuId=21&amp;tabMenuId=117&amp;query=%EC%98%81%EC%9C%A0%EC%95%84%EB%B3%B4%EC%9C%A1%EB%B2%95</w:t>
        </w:r>
      </w:hyperlink>
    </w:p>
    <w:p w14:paraId="1163A1B1" w14:textId="3B4675FA" w:rsidR="002E6776" w:rsidRDefault="002E6776" w:rsidP="002E6776">
      <w:pPr>
        <w:jc w:val="both"/>
        <w:rPr>
          <w:rFonts w:ascii="Times New Roman" w:hAnsi="Times New Roman" w:cs="Times New Roman"/>
        </w:rPr>
      </w:pPr>
      <w:r>
        <w:rPr>
          <w:rFonts w:ascii="Times New Roman" w:hAnsi="Times New Roman" w:cs="Times New Roman"/>
        </w:rPr>
        <w:t>GTZ (</w:t>
      </w:r>
      <w:r w:rsidRPr="002E6776">
        <w:rPr>
          <w:rFonts w:ascii="Times New Roman" w:hAnsi="Times New Roman" w:cs="Times New Roman"/>
        </w:rPr>
        <w:t xml:space="preserve">Deutsche Gesellschaft für </w:t>
      </w:r>
      <w:proofErr w:type="spellStart"/>
      <w:r w:rsidRPr="002E6776">
        <w:rPr>
          <w:rFonts w:ascii="Times New Roman" w:hAnsi="Times New Roman" w:cs="Times New Roman"/>
        </w:rPr>
        <w:t>Technische</w:t>
      </w:r>
      <w:proofErr w:type="spellEnd"/>
      <w:r>
        <w:rPr>
          <w:rFonts w:ascii="Times New Roman" w:hAnsi="Times New Roman" w:cs="Times New Roman"/>
        </w:rPr>
        <w:t xml:space="preserve"> </w:t>
      </w:r>
      <w:proofErr w:type="spellStart"/>
      <w:r w:rsidRPr="002E6776">
        <w:rPr>
          <w:rFonts w:ascii="Times New Roman" w:hAnsi="Times New Roman" w:cs="Times New Roman"/>
        </w:rPr>
        <w:t>Zusammenarbeit</w:t>
      </w:r>
      <w:proofErr w:type="spellEnd"/>
      <w:r>
        <w:rPr>
          <w:rFonts w:ascii="Times New Roman" w:hAnsi="Times New Roman" w:cs="Times New Roman"/>
        </w:rPr>
        <w:t xml:space="preserve">). (n.d.) “Gender and Taxation: </w:t>
      </w:r>
      <w:r w:rsidRPr="002E6776">
        <w:rPr>
          <w:rFonts w:ascii="Times New Roman" w:hAnsi="Times New Roman" w:cs="Times New Roman"/>
        </w:rPr>
        <w:t>Why care about Taxation and Gender Equality?</w:t>
      </w:r>
      <w:r>
        <w:rPr>
          <w:rFonts w:ascii="Times New Roman" w:hAnsi="Times New Roman" w:cs="Times New Roman"/>
        </w:rPr>
        <w:t xml:space="preserve">” Governance and Democracy Division. </w:t>
      </w:r>
      <w:r w:rsidRPr="002E6776">
        <w:rPr>
          <w:rFonts w:ascii="Times New Roman" w:hAnsi="Times New Roman" w:cs="Times New Roman"/>
        </w:rPr>
        <w:t>www.gtz.de/gender</w:t>
      </w:r>
    </w:p>
    <w:p w14:paraId="4B495FAB" w14:textId="1619D2B5" w:rsidR="0036765C" w:rsidRDefault="00B92BFA" w:rsidP="003A238E">
      <w:pPr>
        <w:jc w:val="both"/>
        <w:rPr>
          <w:rFonts w:ascii="Times New Roman" w:hAnsi="Times New Roman" w:cs="Times New Roman"/>
        </w:rPr>
      </w:pPr>
      <w:r>
        <w:rPr>
          <w:rFonts w:ascii="Times New Roman" w:hAnsi="Times New Roman" w:cs="Times New Roman"/>
        </w:rPr>
        <w:t xml:space="preserve">Kingdom of Saudi Arabia. Labor Law. </w:t>
      </w:r>
      <w:r w:rsidR="00B86A99">
        <w:rPr>
          <w:rFonts w:ascii="Times New Roman" w:hAnsi="Times New Roman" w:cs="Times New Roman"/>
        </w:rPr>
        <w:t xml:space="preserve">2005. </w:t>
      </w:r>
      <w:r w:rsidRPr="00B92BFA">
        <w:rPr>
          <w:rFonts w:ascii="Times New Roman" w:hAnsi="Times New Roman" w:cs="Times New Roman"/>
        </w:rPr>
        <w:t>Royal Decree No. M/51 dated 23/8/1426</w:t>
      </w:r>
      <w:r>
        <w:rPr>
          <w:rFonts w:ascii="Times New Roman" w:hAnsi="Times New Roman" w:cs="Times New Roman"/>
        </w:rPr>
        <w:t xml:space="preserve">. </w:t>
      </w:r>
      <w:r w:rsidRPr="00B92BFA">
        <w:rPr>
          <w:rFonts w:ascii="Times New Roman" w:hAnsi="Times New Roman" w:cs="Times New Roman"/>
        </w:rPr>
        <w:t>Council of Ministers Resolution No. 219</w:t>
      </w:r>
      <w:r>
        <w:rPr>
          <w:rFonts w:ascii="Times New Roman" w:hAnsi="Times New Roman" w:cs="Times New Roman"/>
        </w:rPr>
        <w:t xml:space="preserve"> </w:t>
      </w:r>
      <w:r w:rsidRPr="00B92BFA">
        <w:rPr>
          <w:rFonts w:ascii="Times New Roman" w:hAnsi="Times New Roman" w:cs="Times New Roman"/>
        </w:rPr>
        <w:t>dated 22/8/1426</w:t>
      </w:r>
      <w:r>
        <w:rPr>
          <w:rFonts w:ascii="Times New Roman" w:hAnsi="Times New Roman" w:cs="Times New Roman"/>
        </w:rPr>
        <w:t xml:space="preserve">. </w:t>
      </w:r>
      <w:hyperlink r:id="rId26" w:history="1">
        <w:r w:rsidR="0036765C" w:rsidRPr="008C51C8">
          <w:rPr>
            <w:rStyle w:val="Hyperlink"/>
            <w:rFonts w:ascii="Times New Roman" w:hAnsi="Times New Roman" w:cs="Times New Roman"/>
          </w:rPr>
          <w:t>https://www.hrsd.gov.sa/sites/default/files/2017-05/LABOR%20LAW.pdf</w:t>
        </w:r>
      </w:hyperlink>
    </w:p>
    <w:p w14:paraId="56AC1781" w14:textId="77B521DF" w:rsidR="00970BB2" w:rsidRDefault="0036765C" w:rsidP="003A238E">
      <w:pPr>
        <w:jc w:val="both"/>
        <w:rPr>
          <w:rFonts w:ascii="Times New Roman" w:hAnsi="Times New Roman" w:cs="Times New Roman"/>
        </w:rPr>
      </w:pPr>
      <w:proofErr w:type="spellStart"/>
      <w:r>
        <w:rPr>
          <w:rFonts w:ascii="Times New Roman" w:hAnsi="Times New Roman" w:cs="Times New Roman"/>
        </w:rPr>
        <w:t>N</w:t>
      </w:r>
      <w:r w:rsidR="00970BB2" w:rsidRPr="00970BB2">
        <w:rPr>
          <w:rFonts w:ascii="Times New Roman" w:hAnsi="Times New Roman" w:cs="Times New Roman"/>
        </w:rPr>
        <w:t>iesten</w:t>
      </w:r>
      <w:proofErr w:type="spellEnd"/>
      <w:r w:rsidR="00970BB2" w:rsidRPr="00970BB2">
        <w:rPr>
          <w:rFonts w:ascii="Times New Roman" w:hAnsi="Times New Roman" w:cs="Times New Roman"/>
        </w:rPr>
        <w:t xml:space="preserve">, </w:t>
      </w:r>
      <w:r w:rsidR="00970BB2">
        <w:rPr>
          <w:rFonts w:ascii="Times New Roman" w:hAnsi="Times New Roman" w:cs="Times New Roman"/>
        </w:rPr>
        <w:t xml:space="preserve">H. 2023. </w:t>
      </w:r>
      <w:r w:rsidR="00970BB2" w:rsidRPr="00970BB2">
        <w:rPr>
          <w:rFonts w:ascii="Times New Roman" w:hAnsi="Times New Roman" w:cs="Times New Roman"/>
        </w:rPr>
        <w:t xml:space="preserve">“Taxation and </w:t>
      </w:r>
      <w:r w:rsidR="00970BB2">
        <w:rPr>
          <w:rFonts w:ascii="Times New Roman" w:hAnsi="Times New Roman" w:cs="Times New Roman"/>
        </w:rPr>
        <w:t>G</w:t>
      </w:r>
      <w:r w:rsidR="00970BB2" w:rsidRPr="00970BB2">
        <w:rPr>
          <w:rFonts w:ascii="Times New Roman" w:hAnsi="Times New Roman" w:cs="Times New Roman"/>
        </w:rPr>
        <w:t xml:space="preserve">ender in Asia and the Pacific. A </w:t>
      </w:r>
      <w:r w:rsidR="00970BB2">
        <w:rPr>
          <w:rFonts w:ascii="Times New Roman" w:hAnsi="Times New Roman" w:cs="Times New Roman"/>
        </w:rPr>
        <w:t>R</w:t>
      </w:r>
      <w:r w:rsidR="00970BB2" w:rsidRPr="00970BB2">
        <w:rPr>
          <w:rFonts w:ascii="Times New Roman" w:hAnsi="Times New Roman" w:cs="Times New Roman"/>
        </w:rPr>
        <w:t xml:space="preserve">eview of </w:t>
      </w:r>
      <w:r w:rsidR="00970BB2">
        <w:rPr>
          <w:rFonts w:ascii="Times New Roman" w:hAnsi="Times New Roman" w:cs="Times New Roman"/>
        </w:rPr>
        <w:t>G</w:t>
      </w:r>
      <w:r w:rsidR="00970BB2" w:rsidRPr="00970BB2">
        <w:rPr>
          <w:rFonts w:ascii="Times New Roman" w:hAnsi="Times New Roman" w:cs="Times New Roman"/>
        </w:rPr>
        <w:t xml:space="preserve">ender </w:t>
      </w:r>
      <w:r w:rsidR="00970BB2">
        <w:rPr>
          <w:rFonts w:ascii="Times New Roman" w:hAnsi="Times New Roman" w:cs="Times New Roman"/>
        </w:rPr>
        <w:t>E</w:t>
      </w:r>
      <w:r w:rsidR="00970BB2" w:rsidRPr="00970BB2">
        <w:rPr>
          <w:rFonts w:ascii="Times New Roman" w:hAnsi="Times New Roman" w:cs="Times New Roman"/>
        </w:rPr>
        <w:t xml:space="preserve">quality </w:t>
      </w:r>
      <w:r w:rsidR="00970BB2">
        <w:rPr>
          <w:rFonts w:ascii="Times New Roman" w:hAnsi="Times New Roman" w:cs="Times New Roman"/>
        </w:rPr>
        <w:t>P</w:t>
      </w:r>
      <w:r w:rsidR="00970BB2" w:rsidRPr="00970BB2">
        <w:rPr>
          <w:rFonts w:ascii="Times New Roman" w:hAnsi="Times New Roman" w:cs="Times New Roman"/>
        </w:rPr>
        <w:t xml:space="preserve">rovisions in </w:t>
      </w:r>
      <w:r w:rsidR="00970BB2">
        <w:rPr>
          <w:rFonts w:ascii="Times New Roman" w:hAnsi="Times New Roman" w:cs="Times New Roman"/>
        </w:rPr>
        <w:t>F</w:t>
      </w:r>
      <w:r w:rsidR="00970BB2" w:rsidRPr="00970BB2">
        <w:rPr>
          <w:rFonts w:ascii="Times New Roman" w:hAnsi="Times New Roman" w:cs="Times New Roman"/>
        </w:rPr>
        <w:t xml:space="preserve">iscal </w:t>
      </w:r>
      <w:r w:rsidR="00970BB2">
        <w:rPr>
          <w:rFonts w:ascii="Times New Roman" w:hAnsi="Times New Roman" w:cs="Times New Roman"/>
        </w:rPr>
        <w:t>L</w:t>
      </w:r>
      <w:r w:rsidR="00970BB2" w:rsidRPr="00970BB2">
        <w:rPr>
          <w:rFonts w:ascii="Times New Roman" w:hAnsi="Times New Roman" w:cs="Times New Roman"/>
        </w:rPr>
        <w:t xml:space="preserve">egal </w:t>
      </w:r>
      <w:r w:rsidR="00970BB2">
        <w:rPr>
          <w:rFonts w:ascii="Times New Roman" w:hAnsi="Times New Roman" w:cs="Times New Roman"/>
        </w:rPr>
        <w:t>F</w:t>
      </w:r>
      <w:r w:rsidR="00970BB2" w:rsidRPr="00970BB2">
        <w:rPr>
          <w:rFonts w:ascii="Times New Roman" w:hAnsi="Times New Roman" w:cs="Times New Roman"/>
        </w:rPr>
        <w:t>ramework</w:t>
      </w:r>
      <w:r w:rsidR="00970BB2">
        <w:rPr>
          <w:rFonts w:ascii="Times New Roman" w:hAnsi="Times New Roman" w:cs="Times New Roman"/>
        </w:rPr>
        <w:t>.</w:t>
      </w:r>
      <w:r w:rsidR="00970BB2" w:rsidRPr="00970BB2">
        <w:rPr>
          <w:rFonts w:ascii="Times New Roman" w:hAnsi="Times New Roman" w:cs="Times New Roman"/>
        </w:rPr>
        <w:t>” Asian Development Bank sustainable development working paper series No. 87</w:t>
      </w:r>
      <w:r w:rsidR="00970BB2">
        <w:rPr>
          <w:rFonts w:ascii="Times New Roman" w:hAnsi="Times New Roman" w:cs="Times New Roman"/>
        </w:rPr>
        <w:t>.</w:t>
      </w:r>
      <w:r w:rsidR="00970BB2" w:rsidRPr="00970BB2">
        <w:rPr>
          <w:rFonts w:ascii="Times New Roman" w:hAnsi="Times New Roman" w:cs="Times New Roman"/>
        </w:rPr>
        <w:t xml:space="preserve"> July 2023. </w:t>
      </w:r>
      <w:hyperlink r:id="rId27" w:history="1">
        <w:r w:rsidR="008F2E60" w:rsidRPr="008F2E60">
          <w:rPr>
            <w:rStyle w:val="Hyperlink"/>
            <w:rFonts w:ascii="Times New Roman" w:hAnsi="Times New Roman" w:cs="Times New Roman"/>
          </w:rPr>
          <w:t>https://dx.doi.org/10.22617/WPS230271-</w:t>
        </w:r>
        <w:r w:rsidR="008F2E60" w:rsidRPr="00E73480">
          <w:rPr>
            <w:rStyle w:val="Hyperlink"/>
            <w:rFonts w:ascii="Times New Roman" w:hAnsi="Times New Roman" w:cs="Times New Roman"/>
          </w:rPr>
          <w:t>2</w:t>
        </w:r>
      </w:hyperlink>
    </w:p>
    <w:p w14:paraId="6685D0B8" w14:textId="35D78E5D" w:rsidR="008F2E60" w:rsidRPr="00CB5050" w:rsidRDefault="008F2E60" w:rsidP="008F2E60">
      <w:pPr>
        <w:jc w:val="both"/>
        <w:rPr>
          <w:rFonts w:ascii="Times New Roman" w:hAnsi="Times New Roman" w:cs="Times New Roman"/>
        </w:rPr>
      </w:pPr>
      <w:r>
        <w:rPr>
          <w:rFonts w:ascii="Times New Roman" w:hAnsi="Times New Roman" w:cs="Times New Roman"/>
        </w:rPr>
        <w:t>OECD (</w:t>
      </w:r>
      <w:proofErr w:type="spellStart"/>
      <w:r>
        <w:rPr>
          <w:rFonts w:ascii="Times New Roman" w:hAnsi="Times New Roman" w:cs="Times New Roman"/>
        </w:rPr>
        <w:t>Organisation</w:t>
      </w:r>
      <w:proofErr w:type="spellEnd"/>
      <w:r>
        <w:rPr>
          <w:rFonts w:ascii="Times New Roman" w:hAnsi="Times New Roman" w:cs="Times New Roman"/>
        </w:rPr>
        <w:t xml:space="preserve"> of Economic Co-operation and Development). 2020. </w:t>
      </w:r>
      <w:r w:rsidRPr="008F2E60">
        <w:rPr>
          <w:rFonts w:ascii="Times New Roman" w:hAnsi="Times New Roman" w:cs="Times New Roman"/>
        </w:rPr>
        <w:t>Policies and Practices to Promote</w:t>
      </w:r>
      <w:r>
        <w:rPr>
          <w:rFonts w:ascii="Times New Roman" w:hAnsi="Times New Roman" w:cs="Times New Roman"/>
        </w:rPr>
        <w:t xml:space="preserve"> </w:t>
      </w:r>
      <w:r w:rsidRPr="008F2E60">
        <w:rPr>
          <w:rFonts w:ascii="Times New Roman" w:hAnsi="Times New Roman" w:cs="Times New Roman"/>
        </w:rPr>
        <w:t>Women in Leadership Roles in the</w:t>
      </w:r>
      <w:r>
        <w:rPr>
          <w:rFonts w:ascii="Times New Roman" w:hAnsi="Times New Roman" w:cs="Times New Roman"/>
        </w:rPr>
        <w:t xml:space="preserve"> </w:t>
      </w:r>
      <w:r w:rsidRPr="008F2E60">
        <w:rPr>
          <w:rFonts w:ascii="Times New Roman" w:hAnsi="Times New Roman" w:cs="Times New Roman"/>
        </w:rPr>
        <w:t>Private Sector</w:t>
      </w:r>
      <w:r>
        <w:rPr>
          <w:rFonts w:ascii="Times New Roman" w:hAnsi="Times New Roman" w:cs="Times New Roman"/>
        </w:rPr>
        <w:t xml:space="preserve">. </w:t>
      </w:r>
      <w:r w:rsidRPr="008F2E60">
        <w:rPr>
          <w:rFonts w:ascii="Times New Roman" w:hAnsi="Times New Roman" w:cs="Times New Roman"/>
        </w:rPr>
        <w:t>Report prepared by the OECD for the</w:t>
      </w:r>
      <w:r>
        <w:rPr>
          <w:rFonts w:ascii="Times New Roman" w:hAnsi="Times New Roman" w:cs="Times New Roman"/>
        </w:rPr>
        <w:t xml:space="preserve"> </w:t>
      </w:r>
      <w:r w:rsidRPr="008F2E60">
        <w:rPr>
          <w:rFonts w:ascii="Times New Roman" w:hAnsi="Times New Roman" w:cs="Times New Roman"/>
        </w:rPr>
        <w:t>G20 EMPOWER Alliance</w:t>
      </w:r>
      <w:r>
        <w:rPr>
          <w:rFonts w:ascii="Times New Roman" w:hAnsi="Times New Roman" w:cs="Times New Roman"/>
        </w:rPr>
        <w:t xml:space="preserve">. OECD: Paris. </w:t>
      </w:r>
    </w:p>
    <w:p w14:paraId="4BFD34D6" w14:textId="77777777" w:rsidR="008A7596" w:rsidRDefault="008A7596" w:rsidP="003A238E">
      <w:pPr>
        <w:jc w:val="both"/>
        <w:rPr>
          <w:rFonts w:ascii="Times New Roman" w:hAnsi="Times New Roman" w:cs="Times New Roman"/>
        </w:rPr>
      </w:pPr>
      <w:r>
        <w:rPr>
          <w:rFonts w:ascii="Times New Roman" w:hAnsi="Times New Roman" w:cs="Times New Roman"/>
        </w:rPr>
        <w:t xml:space="preserve">Women, Business and the Law. 2022. Chapter 2. </w:t>
      </w:r>
      <w:r w:rsidRPr="008435DD">
        <w:rPr>
          <w:rFonts w:ascii="Times New Roman" w:hAnsi="Times New Roman" w:cs="Times New Roman"/>
        </w:rPr>
        <w:t>Toward Available,</w:t>
      </w:r>
      <w:r>
        <w:rPr>
          <w:rFonts w:ascii="Times New Roman" w:hAnsi="Times New Roman" w:cs="Times New Roman"/>
        </w:rPr>
        <w:t xml:space="preserve"> </w:t>
      </w:r>
      <w:r w:rsidRPr="008435DD">
        <w:rPr>
          <w:rFonts w:ascii="Times New Roman" w:hAnsi="Times New Roman" w:cs="Times New Roman"/>
        </w:rPr>
        <w:t>Affordable, and Quality</w:t>
      </w:r>
      <w:r>
        <w:rPr>
          <w:rFonts w:ascii="Times New Roman" w:hAnsi="Times New Roman" w:cs="Times New Roman"/>
        </w:rPr>
        <w:t xml:space="preserve"> </w:t>
      </w:r>
      <w:r w:rsidRPr="008435DD">
        <w:rPr>
          <w:rFonts w:ascii="Times New Roman" w:hAnsi="Times New Roman" w:cs="Times New Roman"/>
        </w:rPr>
        <w:t>Childcare Services</w:t>
      </w:r>
      <w:r>
        <w:rPr>
          <w:rFonts w:ascii="Times New Roman" w:hAnsi="Times New Roman" w:cs="Times New Roman"/>
        </w:rPr>
        <w:t>. 51–67. World Bank.</w:t>
      </w:r>
    </w:p>
    <w:p w14:paraId="51F00424" w14:textId="7AE16A15" w:rsidR="003A238E" w:rsidRDefault="003A238E" w:rsidP="003A238E">
      <w:pPr>
        <w:jc w:val="both"/>
        <w:rPr>
          <w:rFonts w:ascii="Times New Roman" w:hAnsi="Times New Roman" w:cs="Times New Roman"/>
        </w:rPr>
      </w:pPr>
      <w:r>
        <w:rPr>
          <w:rFonts w:ascii="Times New Roman" w:hAnsi="Times New Roman" w:cs="Times New Roman"/>
        </w:rPr>
        <w:t xml:space="preserve">Women, Business and the Law. </w:t>
      </w:r>
      <w:r w:rsidR="008435DD">
        <w:rPr>
          <w:rFonts w:ascii="Times New Roman" w:hAnsi="Times New Roman" w:cs="Times New Roman"/>
        </w:rPr>
        <w:t xml:space="preserve">2023. World Bank </w:t>
      </w:r>
      <w:r>
        <w:rPr>
          <w:rFonts w:ascii="Times New Roman" w:hAnsi="Times New Roman" w:cs="Times New Roman"/>
        </w:rPr>
        <w:t xml:space="preserve">Website. </w:t>
      </w:r>
      <w:hyperlink r:id="rId28" w:history="1">
        <w:r w:rsidRPr="00E73480">
          <w:rPr>
            <w:rStyle w:val="Hyperlink"/>
            <w:rFonts w:ascii="Times New Roman" w:hAnsi="Times New Roman" w:cs="Times New Roman"/>
          </w:rPr>
          <w:t>https://wbl.worldbank.org/en/wbl</w:t>
        </w:r>
      </w:hyperlink>
    </w:p>
    <w:p w14:paraId="58912905" w14:textId="0114D169" w:rsidR="003A238E" w:rsidRPr="00CB5050" w:rsidRDefault="00A435C0" w:rsidP="0045236E">
      <w:pPr>
        <w:jc w:val="both"/>
        <w:rPr>
          <w:rFonts w:ascii="Times New Roman" w:hAnsi="Times New Roman" w:cs="Times New Roman"/>
        </w:rPr>
      </w:pPr>
      <w:r>
        <w:rPr>
          <w:rFonts w:ascii="Times New Roman" w:hAnsi="Times New Roman" w:cs="Times New Roman"/>
        </w:rPr>
        <w:t>h</w:t>
      </w:r>
      <w:r w:rsidR="008F2E60" w:rsidRPr="008435DD">
        <w:rPr>
          <w:rFonts w:ascii="Times New Roman" w:hAnsi="Times New Roman" w:cs="Times New Roman"/>
        </w:rPr>
        <w:t>ttps://wbl.worldbank.org/content/dam/sites/wbl/documents/2021/02/WBL2022%20Chapter%202.pdf</w:t>
      </w:r>
    </w:p>
    <w:sectPr w:rsidR="003A238E" w:rsidRPr="00CB505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6E56" w14:textId="77777777" w:rsidR="003232AE" w:rsidRDefault="003232AE" w:rsidP="0071611B">
      <w:pPr>
        <w:spacing w:after="0" w:line="240" w:lineRule="auto"/>
      </w:pPr>
      <w:r>
        <w:separator/>
      </w:r>
    </w:p>
  </w:endnote>
  <w:endnote w:type="continuationSeparator" w:id="0">
    <w:p w14:paraId="28EED7F7" w14:textId="77777777" w:rsidR="003232AE" w:rsidRDefault="003232AE" w:rsidP="0071611B">
      <w:pPr>
        <w:spacing w:after="0" w:line="240" w:lineRule="auto"/>
      </w:pPr>
      <w:r>
        <w:continuationSeparator/>
      </w:r>
    </w:p>
  </w:endnote>
  <w:endnote w:type="continuationNotice" w:id="1">
    <w:p w14:paraId="53DB356F" w14:textId="77777777" w:rsidR="00412B10" w:rsidRDefault="00412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15687"/>
      <w:docPartObj>
        <w:docPartGallery w:val="Page Numbers (Bottom of Page)"/>
        <w:docPartUnique/>
      </w:docPartObj>
    </w:sdtPr>
    <w:sdtEndPr>
      <w:rPr>
        <w:noProof/>
      </w:rPr>
    </w:sdtEndPr>
    <w:sdtContent>
      <w:p w14:paraId="59106FF0" w14:textId="2623C858" w:rsidR="001A1ABD" w:rsidRDefault="001A1A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90427" w14:textId="77777777" w:rsidR="001A1ABD" w:rsidRDefault="001A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436F" w14:textId="77777777" w:rsidR="003232AE" w:rsidRDefault="003232AE" w:rsidP="0071611B">
      <w:pPr>
        <w:spacing w:after="0" w:line="240" w:lineRule="auto"/>
      </w:pPr>
      <w:r>
        <w:separator/>
      </w:r>
    </w:p>
  </w:footnote>
  <w:footnote w:type="continuationSeparator" w:id="0">
    <w:p w14:paraId="10E512FF" w14:textId="77777777" w:rsidR="003232AE" w:rsidRDefault="003232AE" w:rsidP="0071611B">
      <w:pPr>
        <w:spacing w:after="0" w:line="240" w:lineRule="auto"/>
      </w:pPr>
      <w:r>
        <w:continuationSeparator/>
      </w:r>
    </w:p>
  </w:footnote>
  <w:footnote w:type="continuationNotice" w:id="1">
    <w:p w14:paraId="73F186FC" w14:textId="77777777" w:rsidR="00412B10" w:rsidRDefault="00412B10">
      <w:pPr>
        <w:spacing w:after="0" w:line="240" w:lineRule="auto"/>
      </w:pPr>
    </w:p>
  </w:footnote>
  <w:footnote w:id="2">
    <w:p w14:paraId="517F6633" w14:textId="6B7AD849" w:rsidR="0071611B" w:rsidRPr="00A97D38" w:rsidRDefault="0071611B" w:rsidP="0071611B">
      <w:pPr>
        <w:pStyle w:val="FootnoteText"/>
        <w:rPr>
          <w:rFonts w:ascii="Times New Roman" w:hAnsi="Times New Roman" w:cs="Times New Roman"/>
          <w:sz w:val="18"/>
          <w:szCs w:val="18"/>
        </w:rPr>
      </w:pPr>
      <w:r w:rsidRPr="00A97D38">
        <w:rPr>
          <w:rStyle w:val="FootnoteReference"/>
          <w:rFonts w:ascii="Times New Roman" w:hAnsi="Times New Roman" w:cs="Times New Roman"/>
          <w:sz w:val="18"/>
          <w:szCs w:val="18"/>
        </w:rPr>
        <w:footnoteRef/>
      </w:r>
      <w:r w:rsidRPr="00A97D38">
        <w:rPr>
          <w:rFonts w:ascii="Times New Roman" w:hAnsi="Times New Roman" w:cs="Times New Roman"/>
          <w:sz w:val="18"/>
          <w:szCs w:val="18"/>
        </w:rPr>
        <w:t xml:space="preserve">  This document has been prepared by a World Bank team comprising Marie Christine Apedo-Amah, Economist; Alexandre</w:t>
      </w:r>
      <w:r w:rsidR="00A61960">
        <w:rPr>
          <w:rFonts w:ascii="Times New Roman" w:hAnsi="Times New Roman" w:cs="Times New Roman"/>
          <w:sz w:val="18"/>
          <w:szCs w:val="18"/>
        </w:rPr>
        <w:t xml:space="preserve"> </w:t>
      </w:r>
      <w:r w:rsidRPr="00A97D38">
        <w:rPr>
          <w:rFonts w:ascii="Times New Roman" w:hAnsi="Times New Roman" w:cs="Times New Roman"/>
          <w:sz w:val="18"/>
          <w:szCs w:val="18"/>
        </w:rPr>
        <w:t xml:space="preserve">Laure, Senior Private Sector Specialist; and </w:t>
      </w:r>
      <w:r w:rsidR="007E003F" w:rsidRPr="00A97D38">
        <w:rPr>
          <w:rFonts w:ascii="Times New Roman" w:hAnsi="Times New Roman" w:cs="Times New Roman"/>
          <w:sz w:val="18"/>
          <w:szCs w:val="18"/>
        </w:rPr>
        <w:t>Consultants</w:t>
      </w:r>
      <w:r w:rsidR="007E003F">
        <w:rPr>
          <w:rFonts w:ascii="Times New Roman" w:hAnsi="Times New Roman" w:cs="Times New Roman"/>
          <w:sz w:val="18"/>
          <w:szCs w:val="18"/>
        </w:rPr>
        <w:t xml:space="preserve"> Bayu Agnimaruto</w:t>
      </w:r>
      <w:r w:rsidRPr="00A97D38">
        <w:rPr>
          <w:rFonts w:ascii="Times New Roman" w:hAnsi="Times New Roman" w:cs="Times New Roman"/>
          <w:sz w:val="18"/>
          <w:szCs w:val="18"/>
        </w:rPr>
        <w:t xml:space="preserve"> and Lara Wanna. The team has</w:t>
      </w:r>
    </w:p>
    <w:p w14:paraId="1F80973C" w14:textId="7CE28958" w:rsidR="0071611B" w:rsidRPr="00A97D38" w:rsidRDefault="0071611B" w:rsidP="0071611B">
      <w:pPr>
        <w:pStyle w:val="FootnoteText"/>
        <w:rPr>
          <w:rFonts w:ascii="Times New Roman" w:hAnsi="Times New Roman" w:cs="Times New Roman"/>
          <w:sz w:val="18"/>
          <w:szCs w:val="18"/>
        </w:rPr>
      </w:pPr>
      <w:r w:rsidRPr="00A97D38">
        <w:rPr>
          <w:rFonts w:ascii="Times New Roman" w:hAnsi="Times New Roman" w:cs="Times New Roman"/>
          <w:sz w:val="18"/>
          <w:szCs w:val="18"/>
        </w:rPr>
        <w:t>benefited from valuable inputs from 2022 the Ministry of Women’s Empowerment and Child Protection</w:t>
      </w:r>
      <w:r w:rsidR="003A238E">
        <w:rPr>
          <w:rFonts w:ascii="Times New Roman" w:hAnsi="Times New Roman" w:cs="Times New Roman"/>
          <w:sz w:val="18"/>
          <w:szCs w:val="18"/>
        </w:rPr>
        <w:t xml:space="preserve"> (</w:t>
      </w:r>
      <w:proofErr w:type="spellStart"/>
      <w:r w:rsidRPr="00A97D38">
        <w:rPr>
          <w:rFonts w:ascii="Times New Roman" w:hAnsi="Times New Roman" w:cs="Times New Roman"/>
          <w:sz w:val="18"/>
          <w:szCs w:val="18"/>
        </w:rPr>
        <w:t>GoI</w:t>
      </w:r>
      <w:proofErr w:type="spellEnd"/>
      <w:r w:rsidR="003A238E">
        <w:rPr>
          <w:rFonts w:ascii="Times New Roman" w:hAnsi="Times New Roman" w:cs="Times New Roman"/>
          <w:sz w:val="18"/>
          <w:szCs w:val="18"/>
        </w:rPr>
        <w:t>),</w:t>
      </w:r>
      <w:r w:rsidRPr="00A97D38">
        <w:rPr>
          <w:rFonts w:ascii="Times New Roman" w:hAnsi="Times New Roman" w:cs="Times New Roman"/>
          <w:sz w:val="18"/>
          <w:szCs w:val="18"/>
        </w:rPr>
        <w:t xml:space="preserve"> the Indonesian Association of Women Entrepreneurs, APINDO, Women World </w:t>
      </w:r>
      <w:r w:rsidR="00A61960" w:rsidRPr="00A97D38">
        <w:rPr>
          <w:rFonts w:ascii="Times New Roman" w:hAnsi="Times New Roman" w:cs="Times New Roman"/>
          <w:sz w:val="18"/>
          <w:szCs w:val="18"/>
        </w:rPr>
        <w:t>Banking, and</w:t>
      </w:r>
      <w:r w:rsidRPr="00A97D38">
        <w:rPr>
          <w:rFonts w:ascii="Times New Roman" w:hAnsi="Times New Roman" w:cs="Times New Roman"/>
          <w:sz w:val="18"/>
          <w:szCs w:val="18"/>
        </w:rPr>
        <w:t xml:space="preserve"> World Bank Group colleagues.</w:t>
      </w:r>
    </w:p>
  </w:footnote>
  <w:footnote w:id="3">
    <w:p w14:paraId="3EC4B833" w14:textId="77777777" w:rsidR="003A238E" w:rsidRDefault="003A238E" w:rsidP="003A238E">
      <w:pPr>
        <w:pStyle w:val="FootnoteText"/>
      </w:pPr>
      <w:r>
        <w:rPr>
          <w:rStyle w:val="FootnoteReference"/>
        </w:rPr>
        <w:footnoteRef/>
      </w:r>
      <w:r>
        <w:t xml:space="preserve"> </w:t>
      </w:r>
      <w:r w:rsidRPr="007C033A">
        <w:rPr>
          <w:rFonts w:ascii="Times New Roman" w:hAnsi="Times New Roman" w:cs="Times New Roman"/>
          <w:sz w:val="18"/>
          <w:szCs w:val="18"/>
        </w:rPr>
        <w:t xml:space="preserve">Article 31 </w:t>
      </w:r>
      <w:r>
        <w:rPr>
          <w:rFonts w:ascii="Times New Roman" w:hAnsi="Times New Roman" w:cs="Times New Roman"/>
          <w:sz w:val="18"/>
          <w:szCs w:val="18"/>
        </w:rPr>
        <w:t>s</w:t>
      </w:r>
      <w:r w:rsidRPr="007C033A">
        <w:rPr>
          <w:rFonts w:ascii="Times New Roman" w:hAnsi="Times New Roman" w:cs="Times New Roman"/>
          <w:sz w:val="18"/>
          <w:szCs w:val="18"/>
        </w:rPr>
        <w:t>pecifies that the husband has the right and obligation to make decisions within the household and community, while the wife is expected to follow and support those decisions. This provision limits women's decision-making power within the marriage and reinforces the notion that men should be the primary decision-makers</w:t>
      </w:r>
      <w:r w:rsidRPr="001B603C">
        <w:t>.</w:t>
      </w:r>
    </w:p>
    <w:p w14:paraId="7194F848" w14:textId="1BDB486F" w:rsidR="003A238E" w:rsidRDefault="003A238E">
      <w:pPr>
        <w:pStyle w:val="FootnoteText"/>
      </w:pPr>
    </w:p>
  </w:footnote>
  <w:footnote w:id="4">
    <w:p w14:paraId="00E66BFC" w14:textId="7C30AD28" w:rsidR="00024A74" w:rsidRDefault="00024A74">
      <w:pPr>
        <w:pStyle w:val="FootnoteText"/>
      </w:pPr>
      <w:r>
        <w:rPr>
          <w:rStyle w:val="FootnoteReference"/>
        </w:rPr>
        <w:footnoteRef/>
      </w:r>
      <w:r>
        <w:t xml:space="preserve"> Some larger companies may have more balanced policies based on their capacities. Introducing more balanced regulatory mandates could lead to an harmonization of practices. </w:t>
      </w:r>
    </w:p>
  </w:footnote>
  <w:footnote w:id="5">
    <w:p w14:paraId="1154C727" w14:textId="445A3100" w:rsidR="000B486C" w:rsidRDefault="000B486C">
      <w:pPr>
        <w:pStyle w:val="FootnoteText"/>
      </w:pPr>
      <w:r>
        <w:rPr>
          <w:rStyle w:val="FootnoteReference"/>
        </w:rPr>
        <w:footnoteRef/>
      </w:r>
      <w:r>
        <w:t xml:space="preserve"> An upcoming publication focusing on access to finance will provide some recommendations.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9EA"/>
    <w:multiLevelType w:val="hybridMultilevel"/>
    <w:tmpl w:val="4A201988"/>
    <w:lvl w:ilvl="0" w:tplc="BEA43BFA">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5F45BA"/>
    <w:multiLevelType w:val="hybridMultilevel"/>
    <w:tmpl w:val="2B92DDFE"/>
    <w:lvl w:ilvl="0" w:tplc="288A87EE">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EF57391"/>
    <w:multiLevelType w:val="hybridMultilevel"/>
    <w:tmpl w:val="21FE85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4BBF"/>
    <w:multiLevelType w:val="hybridMultilevel"/>
    <w:tmpl w:val="EB7CA4F2"/>
    <w:lvl w:ilvl="0" w:tplc="3F1A4B0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1D98"/>
    <w:multiLevelType w:val="hybridMultilevel"/>
    <w:tmpl w:val="BEB017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D278E"/>
    <w:multiLevelType w:val="hybridMultilevel"/>
    <w:tmpl w:val="56160EB6"/>
    <w:lvl w:ilvl="0" w:tplc="C5387A0C">
      <w:start w:val="9"/>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65C8C"/>
    <w:multiLevelType w:val="multilevel"/>
    <w:tmpl w:val="589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44813"/>
    <w:multiLevelType w:val="hybridMultilevel"/>
    <w:tmpl w:val="01568AFC"/>
    <w:lvl w:ilvl="0" w:tplc="2DD6E1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FE2853"/>
    <w:multiLevelType w:val="multilevel"/>
    <w:tmpl w:val="BF1AF0CA"/>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9" w15:restartNumberingAfterBreak="0">
    <w:nsid w:val="1E847748"/>
    <w:multiLevelType w:val="hybridMultilevel"/>
    <w:tmpl w:val="732AAB1C"/>
    <w:lvl w:ilvl="0" w:tplc="2D381AAA">
      <w:start w:val="1"/>
      <w:numFmt w:val="upperLetter"/>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24A2047B"/>
    <w:multiLevelType w:val="hybridMultilevel"/>
    <w:tmpl w:val="C9A43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20958"/>
    <w:multiLevelType w:val="hybridMultilevel"/>
    <w:tmpl w:val="5C86E54A"/>
    <w:lvl w:ilvl="0" w:tplc="70FE259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2C0C78B6"/>
    <w:multiLevelType w:val="hybridMultilevel"/>
    <w:tmpl w:val="DD128B58"/>
    <w:lvl w:ilvl="0" w:tplc="813EBE94">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624B08"/>
    <w:multiLevelType w:val="hybridMultilevel"/>
    <w:tmpl w:val="1C788CF0"/>
    <w:lvl w:ilvl="0" w:tplc="607AA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A24738"/>
    <w:multiLevelType w:val="multilevel"/>
    <w:tmpl w:val="D398F34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645196"/>
    <w:multiLevelType w:val="hybridMultilevel"/>
    <w:tmpl w:val="72A8FCBC"/>
    <w:lvl w:ilvl="0" w:tplc="DF80D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06E54"/>
    <w:multiLevelType w:val="multilevel"/>
    <w:tmpl w:val="B2D2B78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5E6F9A"/>
    <w:multiLevelType w:val="hybridMultilevel"/>
    <w:tmpl w:val="FCB2E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E5873"/>
    <w:multiLevelType w:val="hybridMultilevel"/>
    <w:tmpl w:val="4F224594"/>
    <w:lvl w:ilvl="0" w:tplc="5D9E0692">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15:restartNumberingAfterBreak="0">
    <w:nsid w:val="43B70D17"/>
    <w:multiLevelType w:val="hybridMultilevel"/>
    <w:tmpl w:val="D0A49D02"/>
    <w:lvl w:ilvl="0" w:tplc="DBA613D8">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97000"/>
    <w:multiLevelType w:val="hybridMultilevel"/>
    <w:tmpl w:val="0B201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E3C4A"/>
    <w:multiLevelType w:val="hybridMultilevel"/>
    <w:tmpl w:val="11BE1560"/>
    <w:lvl w:ilvl="0" w:tplc="C846AE7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0312C"/>
    <w:multiLevelType w:val="hybridMultilevel"/>
    <w:tmpl w:val="DC7AE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F6AE4"/>
    <w:multiLevelType w:val="hybridMultilevel"/>
    <w:tmpl w:val="7BA87FAA"/>
    <w:lvl w:ilvl="0" w:tplc="16C4B67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63D2C"/>
    <w:multiLevelType w:val="multilevel"/>
    <w:tmpl w:val="EB58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F440E"/>
    <w:multiLevelType w:val="hybridMultilevel"/>
    <w:tmpl w:val="4FE8E30E"/>
    <w:lvl w:ilvl="0" w:tplc="1E560C2A">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2A2015"/>
    <w:multiLevelType w:val="hybridMultilevel"/>
    <w:tmpl w:val="167ACCF8"/>
    <w:lvl w:ilvl="0" w:tplc="BCDA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7341D"/>
    <w:multiLevelType w:val="hybridMultilevel"/>
    <w:tmpl w:val="24D2DCAC"/>
    <w:lvl w:ilvl="0" w:tplc="628028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956F14"/>
    <w:multiLevelType w:val="hybridMultilevel"/>
    <w:tmpl w:val="D8724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2337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470050"/>
    <w:multiLevelType w:val="hybridMultilevel"/>
    <w:tmpl w:val="CD248876"/>
    <w:lvl w:ilvl="0" w:tplc="5D38A2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8D16BB"/>
    <w:multiLevelType w:val="multilevel"/>
    <w:tmpl w:val="956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B76E41"/>
    <w:multiLevelType w:val="hybridMultilevel"/>
    <w:tmpl w:val="CACA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4003">
    <w:abstractNumId w:val="24"/>
  </w:num>
  <w:num w:numId="2" w16cid:durableId="1022167644">
    <w:abstractNumId w:val="31"/>
  </w:num>
  <w:num w:numId="3" w16cid:durableId="422924042">
    <w:abstractNumId w:val="6"/>
  </w:num>
  <w:num w:numId="4" w16cid:durableId="484517711">
    <w:abstractNumId w:val="11"/>
  </w:num>
  <w:num w:numId="5" w16cid:durableId="473446954">
    <w:abstractNumId w:val="9"/>
  </w:num>
  <w:num w:numId="6" w16cid:durableId="814639580">
    <w:abstractNumId w:val="10"/>
  </w:num>
  <w:num w:numId="7" w16cid:durableId="2128768975">
    <w:abstractNumId w:val="3"/>
  </w:num>
  <w:num w:numId="8" w16cid:durableId="1412695296">
    <w:abstractNumId w:val="20"/>
  </w:num>
  <w:num w:numId="9" w16cid:durableId="1206285797">
    <w:abstractNumId w:val="18"/>
  </w:num>
  <w:num w:numId="10" w16cid:durableId="1833984766">
    <w:abstractNumId w:val="28"/>
  </w:num>
  <w:num w:numId="11" w16cid:durableId="1322809751">
    <w:abstractNumId w:val="13"/>
  </w:num>
  <w:num w:numId="12" w16cid:durableId="1975212165">
    <w:abstractNumId w:val="16"/>
  </w:num>
  <w:num w:numId="13" w16cid:durableId="568660151">
    <w:abstractNumId w:val="8"/>
  </w:num>
  <w:num w:numId="14" w16cid:durableId="945498460">
    <w:abstractNumId w:val="4"/>
  </w:num>
  <w:num w:numId="15" w16cid:durableId="1193491890">
    <w:abstractNumId w:val="2"/>
  </w:num>
  <w:num w:numId="16" w16cid:durableId="1817919040">
    <w:abstractNumId w:val="22"/>
  </w:num>
  <w:num w:numId="17" w16cid:durableId="1490056222">
    <w:abstractNumId w:val="15"/>
  </w:num>
  <w:num w:numId="18" w16cid:durableId="1858501689">
    <w:abstractNumId w:val="32"/>
  </w:num>
  <w:num w:numId="19" w16cid:durableId="330717316">
    <w:abstractNumId w:val="17"/>
  </w:num>
  <w:num w:numId="20" w16cid:durableId="1567036135">
    <w:abstractNumId w:val="25"/>
  </w:num>
  <w:num w:numId="21" w16cid:durableId="1852328496">
    <w:abstractNumId w:val="14"/>
  </w:num>
  <w:num w:numId="22" w16cid:durableId="2118989611">
    <w:abstractNumId w:val="27"/>
  </w:num>
  <w:num w:numId="23" w16cid:durableId="1678001059">
    <w:abstractNumId w:val="1"/>
  </w:num>
  <w:num w:numId="24" w16cid:durableId="1710031723">
    <w:abstractNumId w:val="0"/>
  </w:num>
  <w:num w:numId="25" w16cid:durableId="723020524">
    <w:abstractNumId w:val="30"/>
  </w:num>
  <w:num w:numId="26" w16cid:durableId="317468328">
    <w:abstractNumId w:val="7"/>
  </w:num>
  <w:num w:numId="27" w16cid:durableId="884364802">
    <w:abstractNumId w:val="19"/>
  </w:num>
  <w:num w:numId="28" w16cid:durableId="1196119802">
    <w:abstractNumId w:val="5"/>
  </w:num>
  <w:num w:numId="29" w16cid:durableId="58017727">
    <w:abstractNumId w:val="12"/>
  </w:num>
  <w:num w:numId="30" w16cid:durableId="1390152981">
    <w:abstractNumId w:val="23"/>
  </w:num>
  <w:num w:numId="31" w16cid:durableId="1366177717">
    <w:abstractNumId w:val="21"/>
  </w:num>
  <w:num w:numId="32" w16cid:durableId="1858542455">
    <w:abstractNumId w:val="29"/>
  </w:num>
  <w:num w:numId="33" w16cid:durableId="481969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1B"/>
    <w:rsid w:val="0000461F"/>
    <w:rsid w:val="000116D3"/>
    <w:rsid w:val="00012A57"/>
    <w:rsid w:val="00016B5D"/>
    <w:rsid w:val="00017B0E"/>
    <w:rsid w:val="00024A74"/>
    <w:rsid w:val="00025908"/>
    <w:rsid w:val="0003135E"/>
    <w:rsid w:val="00047B7A"/>
    <w:rsid w:val="000501AD"/>
    <w:rsid w:val="00057942"/>
    <w:rsid w:val="00060502"/>
    <w:rsid w:val="00062252"/>
    <w:rsid w:val="000622D6"/>
    <w:rsid w:val="00062F84"/>
    <w:rsid w:val="00063DFA"/>
    <w:rsid w:val="00074276"/>
    <w:rsid w:val="000835E5"/>
    <w:rsid w:val="00086F05"/>
    <w:rsid w:val="000A39BB"/>
    <w:rsid w:val="000B3D56"/>
    <w:rsid w:val="000B486C"/>
    <w:rsid w:val="000D0F5F"/>
    <w:rsid w:val="000D346A"/>
    <w:rsid w:val="000D64C2"/>
    <w:rsid w:val="000D7121"/>
    <w:rsid w:val="000E1867"/>
    <w:rsid w:val="000F1A99"/>
    <w:rsid w:val="000F22FA"/>
    <w:rsid w:val="000F252E"/>
    <w:rsid w:val="000F7538"/>
    <w:rsid w:val="001022E8"/>
    <w:rsid w:val="001029F6"/>
    <w:rsid w:val="001125D5"/>
    <w:rsid w:val="001144F5"/>
    <w:rsid w:val="00116EF3"/>
    <w:rsid w:val="00117609"/>
    <w:rsid w:val="001440AE"/>
    <w:rsid w:val="001461F2"/>
    <w:rsid w:val="0015401E"/>
    <w:rsid w:val="00156463"/>
    <w:rsid w:val="00167669"/>
    <w:rsid w:val="0017125A"/>
    <w:rsid w:val="00180657"/>
    <w:rsid w:val="001851A8"/>
    <w:rsid w:val="001924C3"/>
    <w:rsid w:val="00195D1B"/>
    <w:rsid w:val="001A1ABD"/>
    <w:rsid w:val="001A462B"/>
    <w:rsid w:val="001A79B9"/>
    <w:rsid w:val="001A7B05"/>
    <w:rsid w:val="001B2FA2"/>
    <w:rsid w:val="001B603C"/>
    <w:rsid w:val="001B667C"/>
    <w:rsid w:val="001C5418"/>
    <w:rsid w:val="001D21DA"/>
    <w:rsid w:val="001D2413"/>
    <w:rsid w:val="001E2DB3"/>
    <w:rsid w:val="001E57CE"/>
    <w:rsid w:val="001F2677"/>
    <w:rsid w:val="001F7AA9"/>
    <w:rsid w:val="001F7FE2"/>
    <w:rsid w:val="0020190D"/>
    <w:rsid w:val="002020B7"/>
    <w:rsid w:val="00205058"/>
    <w:rsid w:val="00211FA4"/>
    <w:rsid w:val="002132D0"/>
    <w:rsid w:val="00215611"/>
    <w:rsid w:val="00230394"/>
    <w:rsid w:val="00232A00"/>
    <w:rsid w:val="002346B7"/>
    <w:rsid w:val="00235616"/>
    <w:rsid w:val="00241E94"/>
    <w:rsid w:val="00257C23"/>
    <w:rsid w:val="00276222"/>
    <w:rsid w:val="00283945"/>
    <w:rsid w:val="0028709E"/>
    <w:rsid w:val="002A4A8A"/>
    <w:rsid w:val="002A69A8"/>
    <w:rsid w:val="002B17F6"/>
    <w:rsid w:val="002C3819"/>
    <w:rsid w:val="002D3EB7"/>
    <w:rsid w:val="002E22C3"/>
    <w:rsid w:val="002E6776"/>
    <w:rsid w:val="002F3599"/>
    <w:rsid w:val="002F777D"/>
    <w:rsid w:val="003169C3"/>
    <w:rsid w:val="0031751D"/>
    <w:rsid w:val="003232AE"/>
    <w:rsid w:val="00331D3F"/>
    <w:rsid w:val="00332C7D"/>
    <w:rsid w:val="00332CC6"/>
    <w:rsid w:val="003532EB"/>
    <w:rsid w:val="00353B9D"/>
    <w:rsid w:val="00355429"/>
    <w:rsid w:val="003602DD"/>
    <w:rsid w:val="0036765C"/>
    <w:rsid w:val="00370CE3"/>
    <w:rsid w:val="003765B1"/>
    <w:rsid w:val="003861AC"/>
    <w:rsid w:val="003915F9"/>
    <w:rsid w:val="00394A4E"/>
    <w:rsid w:val="003A1A01"/>
    <w:rsid w:val="003A238E"/>
    <w:rsid w:val="003A5C2F"/>
    <w:rsid w:val="003B5DAA"/>
    <w:rsid w:val="003B6F29"/>
    <w:rsid w:val="003C1A25"/>
    <w:rsid w:val="003C4C6F"/>
    <w:rsid w:val="003C4CB5"/>
    <w:rsid w:val="003D11DC"/>
    <w:rsid w:val="003D12CF"/>
    <w:rsid w:val="003D6048"/>
    <w:rsid w:val="003E69FE"/>
    <w:rsid w:val="00412B10"/>
    <w:rsid w:val="00414FC3"/>
    <w:rsid w:val="00421F67"/>
    <w:rsid w:val="00425C8B"/>
    <w:rsid w:val="00432892"/>
    <w:rsid w:val="0043372A"/>
    <w:rsid w:val="00436430"/>
    <w:rsid w:val="004436FB"/>
    <w:rsid w:val="00444F97"/>
    <w:rsid w:val="00447B20"/>
    <w:rsid w:val="0045109D"/>
    <w:rsid w:val="0045236E"/>
    <w:rsid w:val="004576DA"/>
    <w:rsid w:val="004577DA"/>
    <w:rsid w:val="00465E9B"/>
    <w:rsid w:val="00466CFD"/>
    <w:rsid w:val="004671EB"/>
    <w:rsid w:val="004716C4"/>
    <w:rsid w:val="00471FB2"/>
    <w:rsid w:val="00472BE4"/>
    <w:rsid w:val="00475A33"/>
    <w:rsid w:val="00477125"/>
    <w:rsid w:val="00481862"/>
    <w:rsid w:val="00491D3C"/>
    <w:rsid w:val="004930AB"/>
    <w:rsid w:val="00496A41"/>
    <w:rsid w:val="004A4B0C"/>
    <w:rsid w:val="004A6DF3"/>
    <w:rsid w:val="004B3138"/>
    <w:rsid w:val="004C4E13"/>
    <w:rsid w:val="004C70DD"/>
    <w:rsid w:val="004D3C9A"/>
    <w:rsid w:val="004D4868"/>
    <w:rsid w:val="004D48AF"/>
    <w:rsid w:val="004E045B"/>
    <w:rsid w:val="004E3536"/>
    <w:rsid w:val="004E4C64"/>
    <w:rsid w:val="004F11EF"/>
    <w:rsid w:val="004F4906"/>
    <w:rsid w:val="00501857"/>
    <w:rsid w:val="0051173E"/>
    <w:rsid w:val="00512405"/>
    <w:rsid w:val="00513A6B"/>
    <w:rsid w:val="00514CC4"/>
    <w:rsid w:val="0052510D"/>
    <w:rsid w:val="00530948"/>
    <w:rsid w:val="00543DC9"/>
    <w:rsid w:val="005572E6"/>
    <w:rsid w:val="00577B2E"/>
    <w:rsid w:val="005819FE"/>
    <w:rsid w:val="00581D05"/>
    <w:rsid w:val="00582924"/>
    <w:rsid w:val="00584462"/>
    <w:rsid w:val="00591CD6"/>
    <w:rsid w:val="005A6304"/>
    <w:rsid w:val="005A718D"/>
    <w:rsid w:val="005B30F1"/>
    <w:rsid w:val="005C36C4"/>
    <w:rsid w:val="005C4A4D"/>
    <w:rsid w:val="005C502A"/>
    <w:rsid w:val="005D4B1C"/>
    <w:rsid w:val="005E01C2"/>
    <w:rsid w:val="005E5547"/>
    <w:rsid w:val="005E5E18"/>
    <w:rsid w:val="006078E7"/>
    <w:rsid w:val="00607D95"/>
    <w:rsid w:val="00610809"/>
    <w:rsid w:val="00621F6D"/>
    <w:rsid w:val="00625B5A"/>
    <w:rsid w:val="0064152F"/>
    <w:rsid w:val="006560D0"/>
    <w:rsid w:val="00666C1D"/>
    <w:rsid w:val="00667796"/>
    <w:rsid w:val="006721D4"/>
    <w:rsid w:val="00674118"/>
    <w:rsid w:val="00684ADC"/>
    <w:rsid w:val="006927BF"/>
    <w:rsid w:val="00695D6A"/>
    <w:rsid w:val="00695F53"/>
    <w:rsid w:val="00697B24"/>
    <w:rsid w:val="006A0D3A"/>
    <w:rsid w:val="006B1372"/>
    <w:rsid w:val="006B5DB3"/>
    <w:rsid w:val="006C1C86"/>
    <w:rsid w:val="006C1F44"/>
    <w:rsid w:val="006C204A"/>
    <w:rsid w:val="006C21A6"/>
    <w:rsid w:val="006C3BC5"/>
    <w:rsid w:val="006C4D74"/>
    <w:rsid w:val="006E192F"/>
    <w:rsid w:val="00706B4A"/>
    <w:rsid w:val="0071611B"/>
    <w:rsid w:val="00732B15"/>
    <w:rsid w:val="0074205E"/>
    <w:rsid w:val="007471CC"/>
    <w:rsid w:val="00751AB0"/>
    <w:rsid w:val="00754F91"/>
    <w:rsid w:val="007600F9"/>
    <w:rsid w:val="00765E41"/>
    <w:rsid w:val="0076655B"/>
    <w:rsid w:val="00770155"/>
    <w:rsid w:val="00782DBC"/>
    <w:rsid w:val="00791E48"/>
    <w:rsid w:val="007922A1"/>
    <w:rsid w:val="00793038"/>
    <w:rsid w:val="00793073"/>
    <w:rsid w:val="00797FD4"/>
    <w:rsid w:val="007A369B"/>
    <w:rsid w:val="007B5D62"/>
    <w:rsid w:val="007C033A"/>
    <w:rsid w:val="007C2617"/>
    <w:rsid w:val="007C54DD"/>
    <w:rsid w:val="007D2BF8"/>
    <w:rsid w:val="007D2C53"/>
    <w:rsid w:val="007E003F"/>
    <w:rsid w:val="007E6BCA"/>
    <w:rsid w:val="007F09F7"/>
    <w:rsid w:val="0080284C"/>
    <w:rsid w:val="00812EE0"/>
    <w:rsid w:val="008143DD"/>
    <w:rsid w:val="008172A0"/>
    <w:rsid w:val="008355A8"/>
    <w:rsid w:val="008367C1"/>
    <w:rsid w:val="008435DD"/>
    <w:rsid w:val="00852132"/>
    <w:rsid w:val="00853287"/>
    <w:rsid w:val="00853512"/>
    <w:rsid w:val="0087463D"/>
    <w:rsid w:val="008821DF"/>
    <w:rsid w:val="00885393"/>
    <w:rsid w:val="00885976"/>
    <w:rsid w:val="0089598D"/>
    <w:rsid w:val="00895F9B"/>
    <w:rsid w:val="008A22C5"/>
    <w:rsid w:val="008A6D8E"/>
    <w:rsid w:val="008A7596"/>
    <w:rsid w:val="008B1D75"/>
    <w:rsid w:val="008B3A1A"/>
    <w:rsid w:val="008C223D"/>
    <w:rsid w:val="008C6302"/>
    <w:rsid w:val="008E105D"/>
    <w:rsid w:val="008E3603"/>
    <w:rsid w:val="008E6B52"/>
    <w:rsid w:val="008F2E60"/>
    <w:rsid w:val="008F49C8"/>
    <w:rsid w:val="008F65B5"/>
    <w:rsid w:val="008F7E5A"/>
    <w:rsid w:val="00902AD2"/>
    <w:rsid w:val="0091287B"/>
    <w:rsid w:val="00912DDD"/>
    <w:rsid w:val="00912EE9"/>
    <w:rsid w:val="00931EC4"/>
    <w:rsid w:val="0094431E"/>
    <w:rsid w:val="00960638"/>
    <w:rsid w:val="009634AB"/>
    <w:rsid w:val="00970BB2"/>
    <w:rsid w:val="00971484"/>
    <w:rsid w:val="00971E0A"/>
    <w:rsid w:val="009729EE"/>
    <w:rsid w:val="009836C1"/>
    <w:rsid w:val="00984C96"/>
    <w:rsid w:val="0099087F"/>
    <w:rsid w:val="00990E2D"/>
    <w:rsid w:val="0099285C"/>
    <w:rsid w:val="009A671D"/>
    <w:rsid w:val="009B5B57"/>
    <w:rsid w:val="009B7911"/>
    <w:rsid w:val="009C5BE8"/>
    <w:rsid w:val="009D0041"/>
    <w:rsid w:val="009D3D33"/>
    <w:rsid w:val="009E299F"/>
    <w:rsid w:val="009E3E9F"/>
    <w:rsid w:val="009F197E"/>
    <w:rsid w:val="00A03117"/>
    <w:rsid w:val="00A13EEE"/>
    <w:rsid w:val="00A21A12"/>
    <w:rsid w:val="00A23650"/>
    <w:rsid w:val="00A24625"/>
    <w:rsid w:val="00A35176"/>
    <w:rsid w:val="00A3631D"/>
    <w:rsid w:val="00A435C0"/>
    <w:rsid w:val="00A45012"/>
    <w:rsid w:val="00A45584"/>
    <w:rsid w:val="00A513E3"/>
    <w:rsid w:val="00A61960"/>
    <w:rsid w:val="00A733F6"/>
    <w:rsid w:val="00A73A4C"/>
    <w:rsid w:val="00A834D4"/>
    <w:rsid w:val="00A952E9"/>
    <w:rsid w:val="00A97681"/>
    <w:rsid w:val="00A97D38"/>
    <w:rsid w:val="00AA42E4"/>
    <w:rsid w:val="00AA7D4A"/>
    <w:rsid w:val="00AB21D2"/>
    <w:rsid w:val="00AE3897"/>
    <w:rsid w:val="00B047FF"/>
    <w:rsid w:val="00B20FBD"/>
    <w:rsid w:val="00B266DE"/>
    <w:rsid w:val="00B42D0E"/>
    <w:rsid w:val="00B543F5"/>
    <w:rsid w:val="00B57671"/>
    <w:rsid w:val="00B62A44"/>
    <w:rsid w:val="00B62C79"/>
    <w:rsid w:val="00B86A99"/>
    <w:rsid w:val="00B92BFA"/>
    <w:rsid w:val="00BA49A9"/>
    <w:rsid w:val="00BA5F3B"/>
    <w:rsid w:val="00BB1D33"/>
    <w:rsid w:val="00BB4C99"/>
    <w:rsid w:val="00BC67E0"/>
    <w:rsid w:val="00BD1CBA"/>
    <w:rsid w:val="00BD252E"/>
    <w:rsid w:val="00BE0137"/>
    <w:rsid w:val="00BE16FC"/>
    <w:rsid w:val="00BE32C9"/>
    <w:rsid w:val="00BF5491"/>
    <w:rsid w:val="00C03343"/>
    <w:rsid w:val="00C0516D"/>
    <w:rsid w:val="00C0565B"/>
    <w:rsid w:val="00C0792E"/>
    <w:rsid w:val="00C21539"/>
    <w:rsid w:val="00C274AF"/>
    <w:rsid w:val="00C36E68"/>
    <w:rsid w:val="00C41F3D"/>
    <w:rsid w:val="00C54B37"/>
    <w:rsid w:val="00C54F18"/>
    <w:rsid w:val="00C6146C"/>
    <w:rsid w:val="00C6193D"/>
    <w:rsid w:val="00C6376D"/>
    <w:rsid w:val="00C73CF8"/>
    <w:rsid w:val="00C850D4"/>
    <w:rsid w:val="00C93EFB"/>
    <w:rsid w:val="00CA0102"/>
    <w:rsid w:val="00CA2C5F"/>
    <w:rsid w:val="00CA2CE2"/>
    <w:rsid w:val="00CA470E"/>
    <w:rsid w:val="00CA6CDD"/>
    <w:rsid w:val="00CA7EF9"/>
    <w:rsid w:val="00CB1E3B"/>
    <w:rsid w:val="00CB378F"/>
    <w:rsid w:val="00CB5050"/>
    <w:rsid w:val="00CD2F11"/>
    <w:rsid w:val="00CD72C5"/>
    <w:rsid w:val="00CF36F6"/>
    <w:rsid w:val="00D02971"/>
    <w:rsid w:val="00D11547"/>
    <w:rsid w:val="00D16DF3"/>
    <w:rsid w:val="00D34558"/>
    <w:rsid w:val="00D375D7"/>
    <w:rsid w:val="00D4218E"/>
    <w:rsid w:val="00D522A3"/>
    <w:rsid w:val="00D81B55"/>
    <w:rsid w:val="00D924A5"/>
    <w:rsid w:val="00DC2939"/>
    <w:rsid w:val="00DD0624"/>
    <w:rsid w:val="00DE028B"/>
    <w:rsid w:val="00DE1340"/>
    <w:rsid w:val="00DE28C3"/>
    <w:rsid w:val="00DE6B18"/>
    <w:rsid w:val="00DE7A60"/>
    <w:rsid w:val="00DE7B56"/>
    <w:rsid w:val="00E03D31"/>
    <w:rsid w:val="00E11CB0"/>
    <w:rsid w:val="00E150C8"/>
    <w:rsid w:val="00E16224"/>
    <w:rsid w:val="00E24872"/>
    <w:rsid w:val="00E31D96"/>
    <w:rsid w:val="00E333DC"/>
    <w:rsid w:val="00E42661"/>
    <w:rsid w:val="00E44B69"/>
    <w:rsid w:val="00E509EC"/>
    <w:rsid w:val="00E5678A"/>
    <w:rsid w:val="00E569B0"/>
    <w:rsid w:val="00E61CC0"/>
    <w:rsid w:val="00E6276B"/>
    <w:rsid w:val="00E64A42"/>
    <w:rsid w:val="00E94FC8"/>
    <w:rsid w:val="00E95AAA"/>
    <w:rsid w:val="00EA2079"/>
    <w:rsid w:val="00EA6876"/>
    <w:rsid w:val="00EB4C31"/>
    <w:rsid w:val="00EC7A12"/>
    <w:rsid w:val="00ED06E8"/>
    <w:rsid w:val="00ED31EE"/>
    <w:rsid w:val="00ED6B12"/>
    <w:rsid w:val="00EE36D2"/>
    <w:rsid w:val="00EE42CC"/>
    <w:rsid w:val="00EE6B36"/>
    <w:rsid w:val="00EF6312"/>
    <w:rsid w:val="00EF7ADD"/>
    <w:rsid w:val="00F01A81"/>
    <w:rsid w:val="00F117DD"/>
    <w:rsid w:val="00F12F24"/>
    <w:rsid w:val="00F17038"/>
    <w:rsid w:val="00F27197"/>
    <w:rsid w:val="00F27E43"/>
    <w:rsid w:val="00F31026"/>
    <w:rsid w:val="00F32B24"/>
    <w:rsid w:val="00F367DC"/>
    <w:rsid w:val="00F36BBC"/>
    <w:rsid w:val="00F43E1F"/>
    <w:rsid w:val="00F444B9"/>
    <w:rsid w:val="00F6277E"/>
    <w:rsid w:val="00F73821"/>
    <w:rsid w:val="00F741EA"/>
    <w:rsid w:val="00F758B9"/>
    <w:rsid w:val="00F85681"/>
    <w:rsid w:val="00F95952"/>
    <w:rsid w:val="00FB1976"/>
    <w:rsid w:val="00FB70BB"/>
    <w:rsid w:val="00FD5196"/>
    <w:rsid w:val="00FF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0DB64"/>
  <w15:docId w15:val="{916B6FC0-8BD8-442B-833F-F49322FA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7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0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161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1611B"/>
    <w:rPr>
      <w:i/>
      <w:iCs/>
      <w:color w:val="4472C4" w:themeColor="accent1"/>
    </w:rPr>
  </w:style>
  <w:style w:type="paragraph" w:styleId="FootnoteText">
    <w:name w:val="footnote text"/>
    <w:basedOn w:val="Normal"/>
    <w:link w:val="FootnoteTextChar"/>
    <w:uiPriority w:val="99"/>
    <w:unhideWhenUsed/>
    <w:rsid w:val="0071611B"/>
    <w:pPr>
      <w:spacing w:after="0" w:line="240" w:lineRule="auto"/>
    </w:pPr>
    <w:rPr>
      <w:sz w:val="20"/>
      <w:szCs w:val="20"/>
    </w:rPr>
  </w:style>
  <w:style w:type="character" w:customStyle="1" w:styleId="FootnoteTextChar">
    <w:name w:val="Footnote Text Char"/>
    <w:basedOn w:val="DefaultParagraphFont"/>
    <w:link w:val="FootnoteText"/>
    <w:uiPriority w:val="99"/>
    <w:rsid w:val="0071611B"/>
    <w:rPr>
      <w:sz w:val="20"/>
      <w:szCs w:val="20"/>
    </w:rPr>
  </w:style>
  <w:style w:type="character" w:styleId="FootnoteReference">
    <w:name w:val="footnote reference"/>
    <w:basedOn w:val="DefaultParagraphFont"/>
    <w:uiPriority w:val="99"/>
    <w:semiHidden/>
    <w:unhideWhenUsed/>
    <w:rsid w:val="0071611B"/>
    <w:rPr>
      <w:vertAlign w:val="superscript"/>
    </w:rPr>
  </w:style>
  <w:style w:type="paragraph" w:styleId="NormalWeb">
    <w:name w:val="Normal (Web)"/>
    <w:basedOn w:val="Normal"/>
    <w:uiPriority w:val="99"/>
    <w:semiHidden/>
    <w:unhideWhenUsed/>
    <w:rsid w:val="007161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611B"/>
    <w:rPr>
      <w:color w:val="0000FF"/>
      <w:u w:val="single"/>
    </w:rPr>
  </w:style>
  <w:style w:type="character" w:styleId="CommentReference">
    <w:name w:val="annotation reference"/>
    <w:basedOn w:val="DefaultParagraphFont"/>
    <w:uiPriority w:val="99"/>
    <w:semiHidden/>
    <w:unhideWhenUsed/>
    <w:rsid w:val="00466CFD"/>
    <w:rPr>
      <w:sz w:val="16"/>
      <w:szCs w:val="16"/>
    </w:rPr>
  </w:style>
  <w:style w:type="paragraph" w:styleId="CommentText">
    <w:name w:val="annotation text"/>
    <w:basedOn w:val="Normal"/>
    <w:link w:val="CommentTextChar"/>
    <w:uiPriority w:val="99"/>
    <w:unhideWhenUsed/>
    <w:rsid w:val="00466CFD"/>
    <w:pPr>
      <w:spacing w:line="240" w:lineRule="auto"/>
    </w:pPr>
    <w:rPr>
      <w:sz w:val="20"/>
      <w:szCs w:val="20"/>
    </w:rPr>
  </w:style>
  <w:style w:type="character" w:customStyle="1" w:styleId="CommentTextChar">
    <w:name w:val="Comment Text Char"/>
    <w:basedOn w:val="DefaultParagraphFont"/>
    <w:link w:val="CommentText"/>
    <w:uiPriority w:val="99"/>
    <w:rsid w:val="00466CFD"/>
    <w:rPr>
      <w:sz w:val="20"/>
      <w:szCs w:val="20"/>
    </w:rPr>
  </w:style>
  <w:style w:type="paragraph" w:styleId="CommentSubject">
    <w:name w:val="annotation subject"/>
    <w:basedOn w:val="CommentText"/>
    <w:next w:val="CommentText"/>
    <w:link w:val="CommentSubjectChar"/>
    <w:uiPriority w:val="99"/>
    <w:semiHidden/>
    <w:unhideWhenUsed/>
    <w:rsid w:val="00466CFD"/>
    <w:rPr>
      <w:b/>
      <w:bCs/>
    </w:rPr>
  </w:style>
  <w:style w:type="character" w:customStyle="1" w:styleId="CommentSubjectChar">
    <w:name w:val="Comment Subject Char"/>
    <w:basedOn w:val="CommentTextChar"/>
    <w:link w:val="CommentSubject"/>
    <w:uiPriority w:val="99"/>
    <w:semiHidden/>
    <w:rsid w:val="00466CFD"/>
    <w:rPr>
      <w:b/>
      <w:bCs/>
      <w:sz w:val="20"/>
      <w:szCs w:val="20"/>
    </w:rPr>
  </w:style>
  <w:style w:type="character" w:styleId="UnresolvedMention">
    <w:name w:val="Unresolved Mention"/>
    <w:basedOn w:val="DefaultParagraphFont"/>
    <w:uiPriority w:val="99"/>
    <w:semiHidden/>
    <w:unhideWhenUsed/>
    <w:rsid w:val="00A97D38"/>
    <w:rPr>
      <w:color w:val="605E5C"/>
      <w:shd w:val="clear" w:color="auto" w:fill="E1DFDD"/>
    </w:rPr>
  </w:style>
  <w:style w:type="paragraph" w:styleId="ListParagraph">
    <w:name w:val="List Paragraph"/>
    <w:basedOn w:val="Normal"/>
    <w:uiPriority w:val="34"/>
    <w:qFormat/>
    <w:rsid w:val="00A97D38"/>
    <w:pPr>
      <w:ind w:left="720"/>
      <w:contextualSpacing/>
    </w:pPr>
  </w:style>
  <w:style w:type="table" w:styleId="TableGrid">
    <w:name w:val="Table Grid"/>
    <w:basedOn w:val="TableNormal"/>
    <w:uiPriority w:val="39"/>
    <w:rsid w:val="00A9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D06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06E8"/>
    <w:rPr>
      <w:sz w:val="20"/>
      <w:szCs w:val="20"/>
    </w:rPr>
  </w:style>
  <w:style w:type="character" w:styleId="EndnoteReference">
    <w:name w:val="endnote reference"/>
    <w:basedOn w:val="DefaultParagraphFont"/>
    <w:uiPriority w:val="99"/>
    <w:semiHidden/>
    <w:unhideWhenUsed/>
    <w:rsid w:val="00ED06E8"/>
    <w:rPr>
      <w:vertAlign w:val="superscript"/>
    </w:rPr>
  </w:style>
  <w:style w:type="character" w:customStyle="1" w:styleId="Heading1Char">
    <w:name w:val="Heading 1 Char"/>
    <w:basedOn w:val="DefaultParagraphFont"/>
    <w:link w:val="Heading1"/>
    <w:uiPriority w:val="9"/>
    <w:rsid w:val="008F7E5A"/>
    <w:rPr>
      <w:rFonts w:ascii="Times New Roman" w:eastAsia="Times New Roman" w:hAnsi="Times New Roman" w:cs="Times New Roman"/>
      <w:b/>
      <w:bCs/>
      <w:kern w:val="36"/>
      <w:sz w:val="48"/>
      <w:szCs w:val="48"/>
    </w:rPr>
  </w:style>
  <w:style w:type="character" w:styleId="Mention">
    <w:name w:val="Mention"/>
    <w:basedOn w:val="DefaultParagraphFont"/>
    <w:uiPriority w:val="99"/>
    <w:unhideWhenUsed/>
    <w:rsid w:val="008355A8"/>
    <w:rPr>
      <w:color w:val="2B579A"/>
      <w:shd w:val="clear" w:color="auto" w:fill="E1DFDD"/>
    </w:rPr>
  </w:style>
  <w:style w:type="paragraph" w:styleId="Revision">
    <w:name w:val="Revision"/>
    <w:hidden/>
    <w:uiPriority w:val="99"/>
    <w:semiHidden/>
    <w:rsid w:val="00684ADC"/>
    <w:pPr>
      <w:spacing w:after="0" w:line="240" w:lineRule="auto"/>
    </w:pPr>
  </w:style>
  <w:style w:type="character" w:customStyle="1" w:styleId="normaltextrun">
    <w:name w:val="normaltextrun"/>
    <w:basedOn w:val="DefaultParagraphFont"/>
    <w:rsid w:val="00C274AF"/>
  </w:style>
  <w:style w:type="character" w:customStyle="1" w:styleId="eop">
    <w:name w:val="eop"/>
    <w:basedOn w:val="DefaultParagraphFont"/>
    <w:rsid w:val="00C274AF"/>
  </w:style>
  <w:style w:type="paragraph" w:customStyle="1" w:styleId="paragraph">
    <w:name w:val="paragraph"/>
    <w:basedOn w:val="Normal"/>
    <w:rsid w:val="00C274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ABD"/>
  </w:style>
  <w:style w:type="paragraph" w:styleId="Footer">
    <w:name w:val="footer"/>
    <w:basedOn w:val="Normal"/>
    <w:link w:val="FooterChar"/>
    <w:uiPriority w:val="99"/>
    <w:unhideWhenUsed/>
    <w:rsid w:val="001A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ABD"/>
  </w:style>
  <w:style w:type="character" w:styleId="FollowedHyperlink">
    <w:name w:val="FollowedHyperlink"/>
    <w:basedOn w:val="DefaultParagraphFont"/>
    <w:uiPriority w:val="99"/>
    <w:semiHidden/>
    <w:unhideWhenUsed/>
    <w:rsid w:val="001D21DA"/>
    <w:rPr>
      <w:color w:val="954F72" w:themeColor="followedHyperlink"/>
      <w:u w:val="single"/>
    </w:rPr>
  </w:style>
  <w:style w:type="character" w:customStyle="1" w:styleId="Heading2Char">
    <w:name w:val="Heading 2 Char"/>
    <w:basedOn w:val="DefaultParagraphFont"/>
    <w:link w:val="Heading2"/>
    <w:uiPriority w:val="9"/>
    <w:semiHidden/>
    <w:rsid w:val="00970BB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D0041"/>
    <w:rPr>
      <w:b/>
      <w:bCs/>
    </w:rPr>
  </w:style>
  <w:style w:type="character" w:customStyle="1" w:styleId="title-text">
    <w:name w:val="title-text"/>
    <w:basedOn w:val="DefaultParagraphFont"/>
    <w:rsid w:val="009836C1"/>
  </w:style>
  <w:style w:type="character" w:customStyle="1" w:styleId="sr-only">
    <w:name w:val="sr-only"/>
    <w:basedOn w:val="DefaultParagraphFont"/>
    <w:rsid w:val="009836C1"/>
  </w:style>
  <w:style w:type="character" w:customStyle="1" w:styleId="button-link-text">
    <w:name w:val="button-link-text"/>
    <w:basedOn w:val="DefaultParagraphFont"/>
    <w:rsid w:val="009836C1"/>
  </w:style>
  <w:style w:type="character" w:customStyle="1" w:styleId="react-xocs-alternative-link">
    <w:name w:val="react-xocs-alternative-link"/>
    <w:basedOn w:val="DefaultParagraphFont"/>
    <w:rsid w:val="009836C1"/>
  </w:style>
  <w:style w:type="character" w:customStyle="1" w:styleId="given-name">
    <w:name w:val="given-name"/>
    <w:basedOn w:val="DefaultParagraphFont"/>
    <w:rsid w:val="009836C1"/>
  </w:style>
  <w:style w:type="character" w:customStyle="1" w:styleId="text">
    <w:name w:val="text"/>
    <w:basedOn w:val="DefaultParagraphFont"/>
    <w:rsid w:val="009836C1"/>
  </w:style>
  <w:style w:type="character" w:customStyle="1" w:styleId="author-ref">
    <w:name w:val="author-ref"/>
    <w:basedOn w:val="DefaultParagraphFont"/>
    <w:rsid w:val="0098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7473">
      <w:bodyDiv w:val="1"/>
      <w:marLeft w:val="0"/>
      <w:marRight w:val="0"/>
      <w:marTop w:val="0"/>
      <w:marBottom w:val="0"/>
      <w:divBdr>
        <w:top w:val="none" w:sz="0" w:space="0" w:color="auto"/>
        <w:left w:val="none" w:sz="0" w:space="0" w:color="auto"/>
        <w:bottom w:val="none" w:sz="0" w:space="0" w:color="auto"/>
        <w:right w:val="none" w:sz="0" w:space="0" w:color="auto"/>
      </w:divBdr>
    </w:div>
    <w:div w:id="275139923">
      <w:bodyDiv w:val="1"/>
      <w:marLeft w:val="0"/>
      <w:marRight w:val="0"/>
      <w:marTop w:val="0"/>
      <w:marBottom w:val="0"/>
      <w:divBdr>
        <w:top w:val="none" w:sz="0" w:space="0" w:color="auto"/>
        <w:left w:val="none" w:sz="0" w:space="0" w:color="auto"/>
        <w:bottom w:val="none" w:sz="0" w:space="0" w:color="auto"/>
        <w:right w:val="none" w:sz="0" w:space="0" w:color="auto"/>
      </w:divBdr>
    </w:div>
    <w:div w:id="288711878">
      <w:bodyDiv w:val="1"/>
      <w:marLeft w:val="0"/>
      <w:marRight w:val="0"/>
      <w:marTop w:val="0"/>
      <w:marBottom w:val="0"/>
      <w:divBdr>
        <w:top w:val="none" w:sz="0" w:space="0" w:color="auto"/>
        <w:left w:val="none" w:sz="0" w:space="0" w:color="auto"/>
        <w:bottom w:val="none" w:sz="0" w:space="0" w:color="auto"/>
        <w:right w:val="none" w:sz="0" w:space="0" w:color="auto"/>
      </w:divBdr>
      <w:divsChild>
        <w:div w:id="157044269">
          <w:marLeft w:val="0"/>
          <w:marRight w:val="0"/>
          <w:marTop w:val="0"/>
          <w:marBottom w:val="0"/>
          <w:divBdr>
            <w:top w:val="none" w:sz="0" w:space="0" w:color="auto"/>
            <w:left w:val="none" w:sz="0" w:space="0" w:color="auto"/>
            <w:bottom w:val="none" w:sz="0" w:space="0" w:color="auto"/>
            <w:right w:val="none" w:sz="0" w:space="0" w:color="auto"/>
          </w:divBdr>
        </w:div>
        <w:div w:id="1153764406">
          <w:marLeft w:val="0"/>
          <w:marRight w:val="0"/>
          <w:marTop w:val="0"/>
          <w:marBottom w:val="0"/>
          <w:divBdr>
            <w:top w:val="none" w:sz="0" w:space="0" w:color="auto"/>
            <w:left w:val="none" w:sz="0" w:space="0" w:color="auto"/>
            <w:bottom w:val="none" w:sz="0" w:space="0" w:color="auto"/>
            <w:right w:val="none" w:sz="0" w:space="0" w:color="auto"/>
          </w:divBdr>
        </w:div>
      </w:divsChild>
    </w:div>
    <w:div w:id="421489886">
      <w:bodyDiv w:val="1"/>
      <w:marLeft w:val="0"/>
      <w:marRight w:val="0"/>
      <w:marTop w:val="0"/>
      <w:marBottom w:val="0"/>
      <w:divBdr>
        <w:top w:val="none" w:sz="0" w:space="0" w:color="auto"/>
        <w:left w:val="none" w:sz="0" w:space="0" w:color="auto"/>
        <w:bottom w:val="none" w:sz="0" w:space="0" w:color="auto"/>
        <w:right w:val="none" w:sz="0" w:space="0" w:color="auto"/>
      </w:divBdr>
    </w:div>
    <w:div w:id="429741342">
      <w:bodyDiv w:val="1"/>
      <w:marLeft w:val="0"/>
      <w:marRight w:val="0"/>
      <w:marTop w:val="0"/>
      <w:marBottom w:val="0"/>
      <w:divBdr>
        <w:top w:val="none" w:sz="0" w:space="0" w:color="auto"/>
        <w:left w:val="none" w:sz="0" w:space="0" w:color="auto"/>
        <w:bottom w:val="none" w:sz="0" w:space="0" w:color="auto"/>
        <w:right w:val="none" w:sz="0" w:space="0" w:color="auto"/>
      </w:divBdr>
    </w:div>
    <w:div w:id="455222568">
      <w:bodyDiv w:val="1"/>
      <w:marLeft w:val="0"/>
      <w:marRight w:val="0"/>
      <w:marTop w:val="0"/>
      <w:marBottom w:val="0"/>
      <w:divBdr>
        <w:top w:val="none" w:sz="0" w:space="0" w:color="auto"/>
        <w:left w:val="none" w:sz="0" w:space="0" w:color="auto"/>
        <w:bottom w:val="none" w:sz="0" w:space="0" w:color="auto"/>
        <w:right w:val="none" w:sz="0" w:space="0" w:color="auto"/>
      </w:divBdr>
    </w:div>
    <w:div w:id="717824683">
      <w:bodyDiv w:val="1"/>
      <w:marLeft w:val="0"/>
      <w:marRight w:val="0"/>
      <w:marTop w:val="0"/>
      <w:marBottom w:val="0"/>
      <w:divBdr>
        <w:top w:val="none" w:sz="0" w:space="0" w:color="auto"/>
        <w:left w:val="none" w:sz="0" w:space="0" w:color="auto"/>
        <w:bottom w:val="none" w:sz="0" w:space="0" w:color="auto"/>
        <w:right w:val="none" w:sz="0" w:space="0" w:color="auto"/>
      </w:divBdr>
    </w:div>
    <w:div w:id="837773180">
      <w:bodyDiv w:val="1"/>
      <w:marLeft w:val="0"/>
      <w:marRight w:val="0"/>
      <w:marTop w:val="0"/>
      <w:marBottom w:val="0"/>
      <w:divBdr>
        <w:top w:val="none" w:sz="0" w:space="0" w:color="auto"/>
        <w:left w:val="none" w:sz="0" w:space="0" w:color="auto"/>
        <w:bottom w:val="none" w:sz="0" w:space="0" w:color="auto"/>
        <w:right w:val="none" w:sz="0" w:space="0" w:color="auto"/>
      </w:divBdr>
    </w:div>
    <w:div w:id="998389123">
      <w:bodyDiv w:val="1"/>
      <w:marLeft w:val="0"/>
      <w:marRight w:val="0"/>
      <w:marTop w:val="0"/>
      <w:marBottom w:val="0"/>
      <w:divBdr>
        <w:top w:val="none" w:sz="0" w:space="0" w:color="auto"/>
        <w:left w:val="none" w:sz="0" w:space="0" w:color="auto"/>
        <w:bottom w:val="none" w:sz="0" w:space="0" w:color="auto"/>
        <w:right w:val="none" w:sz="0" w:space="0" w:color="auto"/>
      </w:divBdr>
    </w:div>
    <w:div w:id="1248808190">
      <w:bodyDiv w:val="1"/>
      <w:marLeft w:val="0"/>
      <w:marRight w:val="0"/>
      <w:marTop w:val="0"/>
      <w:marBottom w:val="0"/>
      <w:divBdr>
        <w:top w:val="none" w:sz="0" w:space="0" w:color="auto"/>
        <w:left w:val="none" w:sz="0" w:space="0" w:color="auto"/>
        <w:bottom w:val="none" w:sz="0" w:space="0" w:color="auto"/>
        <w:right w:val="none" w:sz="0" w:space="0" w:color="auto"/>
      </w:divBdr>
      <w:divsChild>
        <w:div w:id="575434611">
          <w:marLeft w:val="0"/>
          <w:marRight w:val="0"/>
          <w:marTop w:val="0"/>
          <w:marBottom w:val="120"/>
          <w:divBdr>
            <w:top w:val="none" w:sz="0" w:space="0" w:color="auto"/>
            <w:left w:val="none" w:sz="0" w:space="0" w:color="auto"/>
            <w:bottom w:val="none" w:sz="0" w:space="0" w:color="auto"/>
            <w:right w:val="none" w:sz="0" w:space="0" w:color="auto"/>
          </w:divBdr>
          <w:divsChild>
            <w:div w:id="323124510">
              <w:marLeft w:val="0"/>
              <w:marRight w:val="0"/>
              <w:marTop w:val="0"/>
              <w:marBottom w:val="0"/>
              <w:divBdr>
                <w:top w:val="none" w:sz="0" w:space="0" w:color="auto"/>
                <w:left w:val="none" w:sz="0" w:space="0" w:color="auto"/>
                <w:bottom w:val="none" w:sz="0" w:space="0" w:color="auto"/>
                <w:right w:val="none" w:sz="0" w:space="0" w:color="auto"/>
              </w:divBdr>
              <w:divsChild>
                <w:div w:id="749043658">
                  <w:marLeft w:val="0"/>
                  <w:marRight w:val="0"/>
                  <w:marTop w:val="0"/>
                  <w:marBottom w:val="0"/>
                  <w:divBdr>
                    <w:top w:val="none" w:sz="0" w:space="0" w:color="auto"/>
                    <w:left w:val="none" w:sz="0" w:space="0" w:color="auto"/>
                    <w:bottom w:val="none" w:sz="0" w:space="0" w:color="auto"/>
                    <w:right w:val="none" w:sz="0" w:space="0" w:color="auto"/>
                  </w:divBdr>
                  <w:divsChild>
                    <w:div w:id="19218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9236">
      <w:bodyDiv w:val="1"/>
      <w:marLeft w:val="0"/>
      <w:marRight w:val="0"/>
      <w:marTop w:val="0"/>
      <w:marBottom w:val="0"/>
      <w:divBdr>
        <w:top w:val="none" w:sz="0" w:space="0" w:color="auto"/>
        <w:left w:val="none" w:sz="0" w:space="0" w:color="auto"/>
        <w:bottom w:val="none" w:sz="0" w:space="0" w:color="auto"/>
        <w:right w:val="none" w:sz="0" w:space="0" w:color="auto"/>
      </w:divBdr>
    </w:div>
    <w:div w:id="1500461960">
      <w:bodyDiv w:val="1"/>
      <w:marLeft w:val="0"/>
      <w:marRight w:val="0"/>
      <w:marTop w:val="0"/>
      <w:marBottom w:val="0"/>
      <w:divBdr>
        <w:top w:val="none" w:sz="0" w:space="0" w:color="auto"/>
        <w:left w:val="none" w:sz="0" w:space="0" w:color="auto"/>
        <w:bottom w:val="none" w:sz="0" w:space="0" w:color="auto"/>
        <w:right w:val="none" w:sz="0" w:space="0" w:color="auto"/>
      </w:divBdr>
    </w:div>
    <w:div w:id="1730108159">
      <w:bodyDiv w:val="1"/>
      <w:marLeft w:val="0"/>
      <w:marRight w:val="0"/>
      <w:marTop w:val="0"/>
      <w:marBottom w:val="0"/>
      <w:divBdr>
        <w:top w:val="none" w:sz="0" w:space="0" w:color="auto"/>
        <w:left w:val="none" w:sz="0" w:space="0" w:color="auto"/>
        <w:bottom w:val="none" w:sz="0" w:space="0" w:color="auto"/>
        <w:right w:val="none" w:sz="0" w:space="0" w:color="auto"/>
      </w:divBdr>
      <w:divsChild>
        <w:div w:id="485703770">
          <w:marLeft w:val="0"/>
          <w:marRight w:val="0"/>
          <w:marTop w:val="0"/>
          <w:marBottom w:val="300"/>
          <w:divBdr>
            <w:top w:val="none" w:sz="0" w:space="0" w:color="auto"/>
            <w:left w:val="none" w:sz="0" w:space="0" w:color="auto"/>
            <w:bottom w:val="none" w:sz="0" w:space="0" w:color="auto"/>
            <w:right w:val="none" w:sz="0" w:space="0" w:color="auto"/>
          </w:divBdr>
        </w:div>
      </w:divsChild>
    </w:div>
    <w:div w:id="2003385352">
      <w:bodyDiv w:val="1"/>
      <w:marLeft w:val="0"/>
      <w:marRight w:val="0"/>
      <w:marTop w:val="0"/>
      <w:marBottom w:val="0"/>
      <w:divBdr>
        <w:top w:val="none" w:sz="0" w:space="0" w:color="auto"/>
        <w:left w:val="none" w:sz="0" w:space="0" w:color="auto"/>
        <w:bottom w:val="none" w:sz="0" w:space="0" w:color="auto"/>
        <w:right w:val="none" w:sz="0" w:space="0" w:color="auto"/>
      </w:divBdr>
    </w:div>
    <w:div w:id="2108845512">
      <w:bodyDiv w:val="1"/>
      <w:marLeft w:val="0"/>
      <w:marRight w:val="0"/>
      <w:marTop w:val="0"/>
      <w:marBottom w:val="0"/>
      <w:divBdr>
        <w:top w:val="none" w:sz="0" w:space="0" w:color="auto"/>
        <w:left w:val="none" w:sz="0" w:space="0" w:color="auto"/>
        <w:bottom w:val="none" w:sz="0" w:space="0" w:color="auto"/>
        <w:right w:val="none" w:sz="0" w:space="0" w:color="auto"/>
      </w:divBdr>
    </w:div>
    <w:div w:id="2121407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forwomen.worldbank.org/publication/indonesia-women-smes-dashboard-introduction-and-overview" TargetMode="External"/><Relationship Id="rId13" Type="http://schemas.openxmlformats.org/officeDocument/2006/relationships/image" Target="media/image1.png"/><Relationship Id="rId18" Type="http://schemas.openxmlformats.org/officeDocument/2006/relationships/hyperlink" Target="https://www.mohw.go.kr/eng/upload/content_data/2018/2018%20Welfare%20Services%20Guidelines.pdf" TargetMode="External"/><Relationship Id="rId26" Type="http://schemas.openxmlformats.org/officeDocument/2006/relationships/hyperlink" Target="https://www.hrsd.gov.sa/sites/default/files/2017-05/LABOR%20LAW.pdf" TargetMode="External"/><Relationship Id="rId3" Type="http://schemas.openxmlformats.org/officeDocument/2006/relationships/styles" Target="styles.xml"/><Relationship Id="rId21" Type="http://schemas.openxmlformats.org/officeDocument/2006/relationships/hyperlink" Target="https://www.legifrance.gouv.fr/jorf/id/JORFTEXT000045243486" TargetMode="External"/><Relationship Id="rId7" Type="http://schemas.openxmlformats.org/officeDocument/2006/relationships/endnotes" Target="endnotes.xml"/><Relationship Id="rId12" Type="http://schemas.openxmlformats.org/officeDocument/2006/relationships/hyperlink" Target="https://www.ilo.org/dyn/travail/docs/760/Indonesian+Labour+Law+-+Act+13+of+2003.pdf" TargetMode="External"/><Relationship Id="rId17" Type="http://schemas.openxmlformats.org/officeDocument/2006/relationships/image" Target="media/image4.svg"/><Relationship Id="rId25" Type="http://schemas.openxmlformats.org/officeDocument/2006/relationships/hyperlink" Target="https://www.law.go.kr/engLsSc.do?menuId=1&amp;subMenuId=21&amp;tabMenuId=117&amp;query=%EC%98%81%EC%9C%A0%EC%95%84%EB%B3%B4%EC%9C%A1%EB%B2%9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lo.org/declaration/follow-up/tcprojects/eliminationofdiscrimination/WCMS_164947/lang--en/index.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dyn/travail/docs/760/Indonesian+Labour+Law+-+Act+13+of+2003.pdf" TargetMode="External"/><Relationship Id="rId24" Type="http://schemas.openxmlformats.org/officeDocument/2006/relationships/hyperlink" Target="https://www.ojk.go.id/sustainable-finance/id/peraturan/undang-undang/Documents/5.%20UU-40-2007%20PERSEROAN%20TERBATAS.pdf" TargetMode="External"/><Relationship Id="rId5" Type="http://schemas.openxmlformats.org/officeDocument/2006/relationships/webSettings" Target="webSettings.xml"/><Relationship Id="rId15" Type="http://schemas.openxmlformats.org/officeDocument/2006/relationships/hyperlink" Target="https://www.law.go.kr/engLsSc.do?menuId=1&amp;subMenuId=21&amp;tabMenuId=117&amp;query=%EC%98%81%EC%9C%A0%EC%95%84%EB%B3%B4%EC%9C%A1%EB%B2%95" TargetMode="External"/><Relationship Id="rId23" Type="http://schemas.openxmlformats.org/officeDocument/2006/relationships/hyperlink" Target="https://doi.org/10.1016/j.labeco.2015.03.007" TargetMode="External"/><Relationship Id="rId28" Type="http://schemas.openxmlformats.org/officeDocument/2006/relationships/hyperlink" Target="https://wbl.worldbank.org/en/wbl" TargetMode="External"/><Relationship Id="rId10" Type="http://schemas.openxmlformats.org/officeDocument/2006/relationships/hyperlink" Target="https://www.ilo.org/dyn/travail/docs/760/Indonesian+Labour+Law+-+Act+13+of+2003.pdf" TargetMode="External"/><Relationship Id="rId19" Type="http://schemas.openxmlformats.org/officeDocument/2006/relationships/hyperlink" Target="https://academic.oup.com/book/44441/chapter/37666397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bl.worldbank.org/en/wbl" TargetMode="External"/><Relationship Id="rId14" Type="http://schemas.openxmlformats.org/officeDocument/2006/relationships/image" Target="media/image2.svg"/><Relationship Id="rId22" Type="http://schemas.openxmlformats.org/officeDocument/2006/relationships/hyperlink" Target="https://valored.it/wp-content/uploads/2021/04/2020-OECD-G20-Policies-and-Practices-to-Promote-Women-in-Leadership-Roles-in-the-Private-Sector.pdf" TargetMode="External"/><Relationship Id="rId27" Type="http://schemas.openxmlformats.org/officeDocument/2006/relationships/hyperlink" Target="https://dx.doi.org/10.22617/WPS230271-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9534-8DA5-40F1-A07F-60BF8DC5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3457</Words>
  <Characters>22478</Characters>
  <Application>Microsoft Office Word</Application>
  <DocSecurity>4</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Apedo Amah</dc:creator>
  <cp:keywords/>
  <dc:description/>
  <cp:lastModifiedBy>Marie Christine Apedo Amah</cp:lastModifiedBy>
  <cp:revision>2</cp:revision>
  <dcterms:created xsi:type="dcterms:W3CDTF">2024-04-24T16:38:00Z</dcterms:created>
  <dcterms:modified xsi:type="dcterms:W3CDTF">2024-04-24T16:38:00Z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5d099e0451c1c656121a9e732f005de77228d8785c92e4c3e00ac46b28b1f2a0</vt:lpwstr>
  </property>
</Properties>
</file>